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A7235" w14:textId="69DEA015" w:rsidR="008D02FF" w:rsidRPr="00BD053A" w:rsidRDefault="008D02FF" w:rsidP="00E935C7">
      <w:pPr>
        <w:pStyle w:val="abstractt0"/>
        <w:spacing w:after="0" w:afterAutospacing="0" w:line="240" w:lineRule="auto"/>
        <w:ind w:left="0" w:right="567" w:firstLine="0"/>
        <w:jc w:val="both"/>
        <w:rPr>
          <w:rFonts w:ascii="Garamond" w:hAnsi="Garamond"/>
          <w:b/>
          <w:bCs/>
          <w:color w:val="auto"/>
          <w:sz w:val="10"/>
          <w:szCs w:val="10"/>
          <w:lang w:val="es-CO"/>
        </w:rPr>
      </w:pPr>
    </w:p>
    <w:tbl>
      <w:tblPr>
        <w:tblpPr w:leftFromText="187" w:rightFromText="187" w:vertAnchor="text" w:horzAnchor="margin" w:tblpXSpec="center" w:tblpY="230"/>
        <w:tblOverlap w:val="never"/>
        <w:bidiVisual/>
        <w:tblW w:w="0" w:type="auto"/>
        <w:tblLook w:val="04A0" w:firstRow="1" w:lastRow="0" w:firstColumn="1" w:lastColumn="0" w:noHBand="0" w:noVBand="1"/>
      </w:tblPr>
      <w:tblGrid>
        <w:gridCol w:w="9093"/>
      </w:tblGrid>
      <w:tr w:rsidR="0080155B" w:rsidRPr="008E290F" w14:paraId="63755C4A" w14:textId="77777777" w:rsidTr="00C24B1B">
        <w:trPr>
          <w:trHeight w:val="2551"/>
        </w:trPr>
        <w:tc>
          <w:tcPr>
            <w:tcW w:w="9093" w:type="dxa"/>
          </w:tcPr>
          <w:p w14:paraId="460DACED" w14:textId="7B09710B" w:rsidR="00BD053A" w:rsidRPr="008903FC" w:rsidRDefault="00016958" w:rsidP="008903FC">
            <w:pPr>
              <w:pStyle w:val="Articletitle"/>
              <w:framePr w:hSpace="0" w:wrap="auto" w:vAnchor="margin" w:hAnchor="text" w:xAlign="left" w:yAlign="inline"/>
              <w:spacing w:line="240" w:lineRule="auto"/>
              <w:suppressOverlap w:val="0"/>
              <w:jc w:val="center"/>
              <w:rPr>
                <w:rFonts w:ascii="Garamond" w:hAnsi="Garamond"/>
                <w:sz w:val="36"/>
                <w:szCs w:val="36"/>
                <w:lang w:eastAsia="zh-TW"/>
              </w:rPr>
            </w:pPr>
            <w:r w:rsidRPr="008903FC">
              <w:rPr>
                <w:rFonts w:ascii="Garamond" w:hAnsi="Garamond"/>
                <w:sz w:val="36"/>
                <w:szCs w:val="36"/>
              </w:rPr>
              <w:t>Localización de centros médicos temporales para escenarios de eventos sísmicos en la ciudad de Bucaramanga a partir de un modelo multi-fase basado en clusterización y algoritmos de solución</w:t>
            </w:r>
          </w:p>
          <w:p w14:paraId="15AFEB2C" w14:textId="26820059" w:rsidR="00BD053A" w:rsidRPr="00C057E4" w:rsidRDefault="00821E3D" w:rsidP="00A97430">
            <w:pPr>
              <w:pStyle w:val="Author"/>
              <w:framePr w:hSpace="0" w:wrap="auto" w:vAnchor="margin" w:hAnchor="text" w:xAlign="left" w:yAlign="inline"/>
              <w:suppressOverlap w:val="0"/>
              <w:jc w:val="center"/>
              <w:rPr>
                <w:rFonts w:eastAsiaTheme="minorEastAsia"/>
                <w:b w:val="0"/>
                <w:bCs w:val="0"/>
                <w:lang w:eastAsia="zh-TW"/>
              </w:rPr>
            </w:pPr>
            <w:r w:rsidRPr="00C057E4">
              <w:rPr>
                <w:rFonts w:eastAsiaTheme="minorEastAsia"/>
                <w:b w:val="0"/>
                <w:bCs w:val="0"/>
                <w:lang w:eastAsia="zh-TW"/>
              </w:rPr>
              <w:t>Ana Maria Lopez</w:t>
            </w:r>
            <w:r w:rsidR="003B5E05" w:rsidRPr="00C057E4">
              <w:rPr>
                <w:rFonts w:eastAsiaTheme="minorEastAsia"/>
                <w:b w:val="0"/>
                <w:bCs w:val="0"/>
                <w:lang w:eastAsia="zh-TW"/>
              </w:rPr>
              <w:t>-</w:t>
            </w:r>
            <w:r w:rsidRPr="00C057E4">
              <w:rPr>
                <w:rFonts w:eastAsiaTheme="minorEastAsia"/>
                <w:b w:val="0"/>
                <w:bCs w:val="0"/>
                <w:lang w:eastAsia="zh-TW"/>
              </w:rPr>
              <w:t xml:space="preserve">Saltarin </w:t>
            </w:r>
            <w:r w:rsidR="00BD053A" w:rsidRPr="00C057E4">
              <w:rPr>
                <w:b w:val="0"/>
                <w:bCs w:val="0"/>
                <w:vertAlign w:val="superscript"/>
              </w:rPr>
              <w:t xml:space="preserve">1 </w:t>
            </w:r>
            <w:r w:rsidR="003A072F" w:rsidRPr="00C057E4">
              <w:rPr>
                <w:b w:val="0"/>
                <w:bCs w:val="0"/>
              </w:rPr>
              <w:t>Juan Sebastian</w:t>
            </w:r>
            <w:r w:rsidR="003B5E05" w:rsidRPr="00C057E4">
              <w:rPr>
                <w:b w:val="0"/>
                <w:bCs w:val="0"/>
              </w:rPr>
              <w:t>-</w:t>
            </w:r>
            <w:r w:rsidR="003A072F" w:rsidRPr="00C057E4">
              <w:rPr>
                <w:b w:val="0"/>
                <w:bCs w:val="0"/>
              </w:rPr>
              <w:t xml:space="preserve">Ayala Galvis </w:t>
            </w:r>
            <w:r w:rsidR="00BD053A" w:rsidRPr="00C057E4">
              <w:rPr>
                <w:b w:val="0"/>
                <w:bCs w:val="0"/>
                <w:vertAlign w:val="superscript"/>
              </w:rPr>
              <w:t xml:space="preserve">2 </w:t>
            </w:r>
            <w:r w:rsidR="00BD5B53" w:rsidRPr="00C057E4">
              <w:rPr>
                <w:b w:val="0"/>
                <w:bCs w:val="0"/>
              </w:rPr>
              <w:t xml:space="preserve">Juan Camilo López-Vargas </w:t>
            </w:r>
            <w:r w:rsidR="00BD053A" w:rsidRPr="00C057E4">
              <w:rPr>
                <w:b w:val="0"/>
                <w:bCs w:val="0"/>
                <w:vertAlign w:val="superscript"/>
              </w:rPr>
              <w:t>3</w:t>
            </w:r>
            <w:r w:rsidR="00176BD2">
              <w:rPr>
                <w:b w:val="0"/>
                <w:bCs w:val="0"/>
                <w:vertAlign w:val="superscript"/>
              </w:rPr>
              <w:t xml:space="preserve"> </w:t>
            </w:r>
            <w:r w:rsidR="003B5E05" w:rsidRPr="00C057E4">
              <w:rPr>
                <w:b w:val="0"/>
                <w:bCs w:val="0"/>
              </w:rPr>
              <w:t>&amp;</w:t>
            </w:r>
            <w:r w:rsidR="00F22301">
              <w:rPr>
                <w:b w:val="0"/>
                <w:bCs w:val="0"/>
              </w:rPr>
              <w:t xml:space="preserve"> </w:t>
            </w:r>
            <w:r w:rsidR="00052DC1" w:rsidRPr="00C057E4">
              <w:rPr>
                <w:b w:val="0"/>
                <w:bCs w:val="0"/>
              </w:rPr>
              <w:t xml:space="preserve">Verónica Duque-Uribe </w:t>
            </w:r>
            <w:r w:rsidR="00B25A89" w:rsidRPr="00C057E4">
              <w:rPr>
                <w:b w:val="0"/>
                <w:bCs w:val="0"/>
                <w:vertAlign w:val="superscript"/>
              </w:rPr>
              <w:t>4</w:t>
            </w:r>
          </w:p>
          <w:p w14:paraId="18DDC01E" w14:textId="174EB62B" w:rsidR="00BD053A" w:rsidRPr="00A554CB" w:rsidRDefault="00BD053A" w:rsidP="00A554CB">
            <w:pPr>
              <w:pStyle w:val="Affiliation"/>
              <w:framePr w:hSpace="0" w:wrap="auto" w:vAnchor="margin" w:hAnchor="text" w:xAlign="left" w:yAlign="inline"/>
              <w:suppressOverlap w:val="0"/>
              <w:jc w:val="center"/>
              <w:rPr>
                <w:rFonts w:eastAsiaTheme="minorEastAsia"/>
                <w:lang w:eastAsia="zh-TW"/>
              </w:rPr>
            </w:pPr>
            <w:r w:rsidRPr="00A554CB">
              <w:rPr>
                <w:vertAlign w:val="superscript"/>
              </w:rPr>
              <w:t>1</w:t>
            </w:r>
            <w:r w:rsidRPr="00A554CB">
              <w:t xml:space="preserve"> </w:t>
            </w:r>
            <w:proofErr w:type="gramStart"/>
            <w:r w:rsidRPr="00A554CB">
              <w:rPr>
                <w:rFonts w:eastAsiaTheme="minorEastAsia"/>
                <w:lang w:eastAsia="zh-TW"/>
              </w:rPr>
              <w:t>Univer</w:t>
            </w:r>
            <w:r w:rsidR="00831ED8">
              <w:rPr>
                <w:rFonts w:eastAsiaTheme="minorEastAsia"/>
                <w:lang w:eastAsia="zh-TW"/>
              </w:rPr>
              <w:t>s</w:t>
            </w:r>
            <w:r w:rsidRPr="00A554CB">
              <w:rPr>
                <w:rFonts w:eastAsiaTheme="minorEastAsia"/>
                <w:lang w:eastAsia="zh-TW"/>
              </w:rPr>
              <w:t>idad</w:t>
            </w:r>
            <w:proofErr w:type="gramEnd"/>
            <w:r w:rsidRPr="00A554CB">
              <w:rPr>
                <w:rFonts w:eastAsiaTheme="minorEastAsia"/>
                <w:lang w:eastAsia="zh-TW"/>
              </w:rPr>
              <w:t xml:space="preserve"> Industrial de Santander / </w:t>
            </w:r>
            <w:hyperlink r:id="rId8" w:history="1">
              <w:r w:rsidR="00B25A89" w:rsidRPr="00A554CB">
                <w:rPr>
                  <w:rStyle w:val="Hipervnculo"/>
                  <w:color w:val="000000" w:themeColor="text1"/>
                  <w:u w:val="none"/>
                </w:rPr>
                <w:t>ana</w:t>
              </w:r>
              <w:r w:rsidR="00B25A89" w:rsidRPr="00A554CB">
                <w:rPr>
                  <w:rStyle w:val="Hipervnculo"/>
                  <w:rFonts w:eastAsia="Times New Roman"/>
                  <w:color w:val="000000" w:themeColor="text1"/>
                  <w:u w:val="none"/>
                </w:rPr>
                <w:t>22102</w:t>
              </w:r>
              <w:r w:rsidR="00B25A89" w:rsidRPr="00A554CB">
                <w:rPr>
                  <w:rStyle w:val="Hipervnculo"/>
                  <w:color w:val="000000" w:themeColor="text1"/>
                  <w:u w:val="none"/>
                </w:rPr>
                <w:t>8</w:t>
              </w:r>
              <w:r w:rsidR="00B25A89" w:rsidRPr="00A554CB">
                <w:rPr>
                  <w:rStyle w:val="Hipervnculo"/>
                  <w:rFonts w:eastAsia="Times New Roman"/>
                  <w:color w:val="000000" w:themeColor="text1"/>
                  <w:u w:val="none"/>
                </w:rPr>
                <w:t>6@correo.uis.edu.co</w:t>
              </w:r>
            </w:hyperlink>
          </w:p>
          <w:p w14:paraId="0E1FFD2B" w14:textId="41AF51C8" w:rsidR="00BD053A" w:rsidRPr="00A554CB" w:rsidRDefault="00BD053A" w:rsidP="00A554CB">
            <w:pPr>
              <w:pStyle w:val="Affiliation"/>
              <w:framePr w:hSpace="0" w:wrap="auto" w:vAnchor="margin" w:hAnchor="text" w:xAlign="left" w:yAlign="inline"/>
              <w:suppressOverlap w:val="0"/>
              <w:jc w:val="center"/>
              <w:rPr>
                <w:rFonts w:eastAsiaTheme="minorEastAsia"/>
                <w:lang w:eastAsia="zh-TW"/>
              </w:rPr>
            </w:pPr>
            <w:r w:rsidRPr="00A554CB">
              <w:rPr>
                <w:vertAlign w:val="superscript"/>
              </w:rPr>
              <w:t>2</w:t>
            </w:r>
            <w:r w:rsidRPr="00A554CB">
              <w:t xml:space="preserve"> </w:t>
            </w:r>
            <w:proofErr w:type="gramStart"/>
            <w:r w:rsidR="00B25A89" w:rsidRPr="00A554CB">
              <w:rPr>
                <w:rFonts w:eastAsiaTheme="minorEastAsia"/>
                <w:lang w:eastAsia="zh-TW"/>
              </w:rPr>
              <w:t>Univer</w:t>
            </w:r>
            <w:r w:rsidR="00831ED8">
              <w:rPr>
                <w:rFonts w:eastAsiaTheme="minorEastAsia"/>
                <w:lang w:eastAsia="zh-TW"/>
              </w:rPr>
              <w:t>s</w:t>
            </w:r>
            <w:r w:rsidR="00B25A89" w:rsidRPr="00A554CB">
              <w:rPr>
                <w:rFonts w:eastAsiaTheme="minorEastAsia"/>
                <w:lang w:eastAsia="zh-TW"/>
              </w:rPr>
              <w:t>idad</w:t>
            </w:r>
            <w:proofErr w:type="gramEnd"/>
            <w:r w:rsidR="00B25A89" w:rsidRPr="00A554CB">
              <w:rPr>
                <w:rFonts w:eastAsiaTheme="minorEastAsia"/>
                <w:lang w:eastAsia="zh-TW"/>
              </w:rPr>
              <w:t xml:space="preserve"> Industrial de Santander / juan2210296@correo.uis.edu.co</w:t>
            </w:r>
          </w:p>
          <w:p w14:paraId="7C400BEC" w14:textId="7DE14E67" w:rsidR="00BD053A" w:rsidRPr="00A554CB" w:rsidRDefault="00BD053A" w:rsidP="00A554CB">
            <w:pPr>
              <w:pStyle w:val="Affiliation"/>
              <w:framePr w:hSpace="0" w:wrap="auto" w:vAnchor="margin" w:hAnchor="text" w:xAlign="left" w:yAlign="inline"/>
              <w:suppressOverlap w:val="0"/>
              <w:jc w:val="center"/>
            </w:pPr>
            <w:r w:rsidRPr="00A554CB">
              <w:rPr>
                <w:vertAlign w:val="superscript"/>
              </w:rPr>
              <w:t>3</w:t>
            </w:r>
            <w:r w:rsidRPr="00A554CB">
              <w:t xml:space="preserve"> </w:t>
            </w:r>
            <w:proofErr w:type="gramStart"/>
            <w:r w:rsidRPr="00A554CB">
              <w:rPr>
                <w:rFonts w:eastAsiaTheme="minorEastAsia"/>
                <w:lang w:eastAsia="zh-TW"/>
              </w:rPr>
              <w:t>Univer</w:t>
            </w:r>
            <w:r w:rsidR="00831ED8">
              <w:rPr>
                <w:rFonts w:eastAsiaTheme="minorEastAsia"/>
                <w:lang w:eastAsia="zh-TW"/>
              </w:rPr>
              <w:t>s</w:t>
            </w:r>
            <w:r w:rsidRPr="00A554CB">
              <w:rPr>
                <w:rFonts w:eastAsiaTheme="minorEastAsia"/>
                <w:lang w:eastAsia="zh-TW"/>
              </w:rPr>
              <w:t>idad</w:t>
            </w:r>
            <w:proofErr w:type="gramEnd"/>
            <w:r w:rsidRPr="00A554CB">
              <w:rPr>
                <w:rFonts w:eastAsiaTheme="minorEastAsia"/>
                <w:lang w:eastAsia="zh-TW"/>
              </w:rPr>
              <w:t xml:space="preserve"> Industrial de Santander /</w:t>
            </w:r>
            <w:r w:rsidRPr="00A554CB">
              <w:t xml:space="preserve"> </w:t>
            </w:r>
            <w:r w:rsidR="00F74A58" w:rsidRPr="00A554CB">
              <w:t>jclopezv@uis.edu.co</w:t>
            </w:r>
          </w:p>
          <w:p w14:paraId="5CF3DA91" w14:textId="1682E3E6" w:rsidR="00B25A89" w:rsidRPr="008E290F" w:rsidRDefault="00B25A89" w:rsidP="008D1256">
            <w:pPr>
              <w:pStyle w:val="Affiliation"/>
              <w:framePr w:hSpace="0" w:wrap="auto" w:vAnchor="margin" w:hAnchor="text" w:xAlign="left" w:yAlign="inline"/>
              <w:suppressOverlap w:val="0"/>
              <w:jc w:val="center"/>
              <w:rPr>
                <w:rFonts w:eastAsiaTheme="minorEastAsia"/>
                <w:lang w:eastAsia="zh-TW"/>
              </w:rPr>
            </w:pPr>
            <w:r w:rsidRPr="00A554CB">
              <w:rPr>
                <w:vertAlign w:val="superscript"/>
              </w:rPr>
              <w:t>4</w:t>
            </w:r>
            <w:r w:rsidRPr="00A554CB">
              <w:t xml:space="preserve"> </w:t>
            </w:r>
            <w:proofErr w:type="gramStart"/>
            <w:r w:rsidR="00056313" w:rsidRPr="00056313">
              <w:rPr>
                <w:rFonts w:eastAsiaTheme="minorEastAsia"/>
                <w:lang w:eastAsia="zh-TW"/>
              </w:rPr>
              <w:t>Universidad</w:t>
            </w:r>
            <w:proofErr w:type="gramEnd"/>
            <w:r w:rsidR="00056313" w:rsidRPr="00056313">
              <w:rPr>
                <w:rFonts w:eastAsiaTheme="minorEastAsia"/>
                <w:lang w:eastAsia="zh-TW"/>
              </w:rPr>
              <w:t xml:space="preserve"> Nacional </w:t>
            </w:r>
            <w:r w:rsidR="00056313">
              <w:rPr>
                <w:rFonts w:eastAsiaTheme="minorEastAsia"/>
                <w:lang w:eastAsia="zh-TW"/>
              </w:rPr>
              <w:t>d</w:t>
            </w:r>
            <w:r w:rsidR="00056313" w:rsidRPr="00056313">
              <w:rPr>
                <w:rFonts w:eastAsiaTheme="minorEastAsia"/>
                <w:lang w:eastAsia="zh-TW"/>
              </w:rPr>
              <w:t>e Colombia</w:t>
            </w:r>
            <w:r w:rsidRPr="00A554CB">
              <w:rPr>
                <w:rFonts w:eastAsiaTheme="minorEastAsia"/>
                <w:lang w:eastAsia="zh-TW"/>
              </w:rPr>
              <w:t>/</w:t>
            </w:r>
            <w:r w:rsidRPr="00A554CB">
              <w:t xml:space="preserve"> </w:t>
            </w:r>
            <w:r w:rsidR="00A05BB6" w:rsidRPr="00A554CB">
              <w:t>vduqueu@unal.edu.co</w:t>
            </w:r>
          </w:p>
          <w:p w14:paraId="220CCFDD" w14:textId="77777777" w:rsidR="00BD053A" w:rsidRPr="00097E77" w:rsidRDefault="00BD053A" w:rsidP="00BD053A">
            <w:pPr>
              <w:pStyle w:val="Author"/>
              <w:framePr w:hSpace="0" w:wrap="auto" w:vAnchor="margin" w:hAnchor="text" w:xAlign="left" w:yAlign="inline"/>
              <w:spacing w:after="0" w:line="276" w:lineRule="auto"/>
              <w:ind w:firstLine="0"/>
              <w:suppressOverlap w:val="0"/>
              <w:rPr>
                <w:color w:val="000000" w:themeColor="text1"/>
                <w:sz w:val="24"/>
              </w:rPr>
            </w:pPr>
          </w:p>
          <w:p w14:paraId="6950FFE1" w14:textId="469778A7" w:rsidR="00D14B7A" w:rsidRPr="008E290F" w:rsidRDefault="00BD053A" w:rsidP="00BD053A">
            <w:pPr>
              <w:pStyle w:val="Author"/>
              <w:framePr w:hSpace="0" w:wrap="auto" w:vAnchor="margin" w:hAnchor="text" w:xAlign="left" w:yAlign="inline"/>
              <w:spacing w:after="0" w:line="276" w:lineRule="auto"/>
              <w:ind w:left="38" w:hanging="38"/>
              <w:suppressOverlap w:val="0"/>
              <w:rPr>
                <w:rFonts w:eastAsiaTheme="minorHAnsi" w:cs="XB Kayhan"/>
                <w:color w:val="000000"/>
                <w:szCs w:val="20"/>
                <w:vertAlign w:val="superscript"/>
                <w:rtl/>
                <w:lang w:bidi="ar-SA"/>
              </w:rPr>
            </w:pPr>
            <w:r w:rsidRPr="00097E77">
              <w:rPr>
                <w:color w:val="000000" w:themeColor="text1"/>
                <w:sz w:val="24"/>
              </w:rPr>
              <w:t xml:space="preserve"> Resumen.</w:t>
            </w:r>
          </w:p>
        </w:tc>
      </w:tr>
    </w:tbl>
    <w:p w14:paraId="028097DC" w14:textId="32F64CE6" w:rsidR="00F63011" w:rsidRPr="00BD053A" w:rsidRDefault="00F63011" w:rsidP="008D1256">
      <w:pPr>
        <w:pStyle w:val="abstractt0"/>
        <w:spacing w:after="0" w:afterAutospacing="0"/>
        <w:ind w:left="0" w:right="567" w:firstLine="0"/>
        <w:jc w:val="both"/>
        <w:rPr>
          <w:rFonts w:ascii="Garamond" w:hAnsi="Garamond"/>
          <w:b/>
          <w:bCs/>
          <w:color w:val="000000" w:themeColor="text1"/>
          <w:sz w:val="24"/>
          <w:szCs w:val="24"/>
          <w:lang w:val="es-CO"/>
        </w:rPr>
      </w:pPr>
    </w:p>
    <w:tbl>
      <w:tblPr>
        <w:tblStyle w:val="Tablaconcuadrcula"/>
        <w:tblpPr w:leftFromText="181" w:rightFromText="181" w:vertAnchor="text" w:horzAnchor="margin" w:tblpXSpec="center" w:tblpY="124"/>
        <w:tblOverlap w:val="never"/>
        <w:tblW w:w="0" w:type="auto"/>
        <w:shd w:val="clear" w:color="auto" w:fill="D9D9D9" w:themeFill="background1" w:themeFillShade="D9"/>
        <w:tblLook w:val="04A0" w:firstRow="1" w:lastRow="0" w:firstColumn="1" w:lastColumn="0" w:noHBand="0" w:noVBand="1"/>
      </w:tblPr>
      <w:tblGrid>
        <w:gridCol w:w="9173"/>
      </w:tblGrid>
      <w:tr w:rsidR="00551C29" w:rsidRPr="00BD053A" w14:paraId="178978FF" w14:textId="77777777" w:rsidTr="00357C86">
        <w:trPr>
          <w:trHeight w:val="1137"/>
        </w:trPr>
        <w:tc>
          <w:tcPr>
            <w:tcW w:w="9173" w:type="dxa"/>
            <w:tcBorders>
              <w:top w:val="nil"/>
              <w:left w:val="nil"/>
              <w:bottom w:val="nil"/>
              <w:right w:val="nil"/>
            </w:tcBorders>
            <w:shd w:val="clear" w:color="auto" w:fill="F2F2F2" w:themeFill="background1" w:themeFillShade="F2"/>
          </w:tcPr>
          <w:p w14:paraId="6D09442E" w14:textId="38714492" w:rsidR="00274E05" w:rsidRPr="00BD053A" w:rsidRDefault="00E277E9" w:rsidP="00274E05">
            <w:pPr>
              <w:pStyle w:val="Abstractt"/>
              <w:framePr w:hSpace="0" w:wrap="auto" w:vAnchor="margin" w:hAnchor="text" w:xAlign="left" w:yAlign="inline"/>
              <w:spacing w:after="100"/>
              <w:ind w:right="0"/>
              <w:suppressOverlap w:val="0"/>
              <w:rPr>
                <w:iCs w:val="0"/>
                <w:lang w:val="es-CO"/>
              </w:rPr>
            </w:pPr>
            <w:r w:rsidRPr="00E277E9">
              <w:rPr>
                <w:rStyle w:val="AbstracttChar"/>
                <w:lang w:val="es-CO"/>
              </w:rPr>
              <w:t>La respuesta médica posterior a un desastre ocasionado por un sismo requiere decisiones de localización que definan, con anticipación, puntos de atención temporales capaces de atender una demanda potencial elevada bajo restricciones de accesibilidad asociadas a afectaciones en infraestructura y movilidad. En e</w:t>
            </w:r>
            <w:r w:rsidR="003D263F">
              <w:rPr>
                <w:rStyle w:val="AbstracttChar"/>
                <w:lang w:val="es-CO"/>
              </w:rPr>
              <w:t>ste estudio</w:t>
            </w:r>
            <w:r w:rsidRPr="00E277E9">
              <w:rPr>
                <w:rStyle w:val="AbstracttChar"/>
                <w:lang w:val="es-CO"/>
              </w:rPr>
              <w:t xml:space="preserve">, la localización de estos puntos para la ciudad de Bucaramanga se aborda mediante la caracterización de los barrios a partir de información socioeconómica y de daño en edificaciones, con el fin de aproximar condiciones relativas de vulnerabilidad y afectación esperada. Este </w:t>
            </w:r>
            <w:r w:rsidR="003D263F">
              <w:rPr>
                <w:rStyle w:val="AbstracttChar"/>
                <w:lang w:val="es-CO"/>
              </w:rPr>
              <w:t>trabajo</w:t>
            </w:r>
            <w:r w:rsidR="00014CEF">
              <w:rPr>
                <w:rStyle w:val="AbstracttChar"/>
                <w:lang w:val="es-CO"/>
              </w:rPr>
              <w:t xml:space="preserve"> </w:t>
            </w:r>
            <w:r w:rsidRPr="00E277E9">
              <w:rPr>
                <w:rStyle w:val="AbstracttChar"/>
                <w:lang w:val="es-CO"/>
              </w:rPr>
              <w:t>desarrolla y evalúa un modelo multi-fase para proponer esquemas comparables de localización de Centros Médicos Temporales (CMT) y cuantificar su desempeño mediante cobertura. La metodología integra tres etapas: (i) segmentación territorial de 206 barrios mediante clusterización k-medoids (PAM), donde k representa el número de clústeres definidos para la ciudad; (ii) estimación de demanda potencial asociada al número esperado de víctimas y determinación, para cada clúster, de una ubicación representativa mediante centroide ponderado y (iii) evaluación del desempeño mediante un indicador de cobertura, donde un barrio se considera atendido si su centroide se ubica dentro del radio de servicio del CMT de su respectivo clúster. Se comparan escenarios k=2, k=3 y k=5; entre los evaluados, k=5 presenta el mejor desempeño agregado de cobertura (88,05%) y una distribución espacial más equilibrada de la atención. Así, el modelo aporta un procedimiento reproducible que integra segmentación socioespacial, estimación de demanda y evaluación por cobertura para respaldar la selección del esquema de localización con mejor desempeño y orientar la priorización de zonas críticas en etapas posteriores de implementación.</w:t>
            </w:r>
          </w:p>
        </w:tc>
      </w:tr>
      <w:tr w:rsidR="00551C29" w:rsidRPr="00AA0399" w14:paraId="0E2F090D" w14:textId="77777777" w:rsidTr="00357C86">
        <w:trPr>
          <w:trHeight w:val="404"/>
        </w:trPr>
        <w:tc>
          <w:tcPr>
            <w:tcW w:w="9173" w:type="dxa"/>
            <w:tcBorders>
              <w:top w:val="nil"/>
              <w:left w:val="nil"/>
              <w:bottom w:val="single" w:sz="12" w:space="0" w:color="767171"/>
              <w:right w:val="nil"/>
            </w:tcBorders>
            <w:shd w:val="clear" w:color="auto" w:fill="F2F2F2" w:themeFill="background1" w:themeFillShade="F2"/>
          </w:tcPr>
          <w:p w14:paraId="0FF391DA" w14:textId="480BDC97" w:rsidR="00551C29" w:rsidRPr="00AA0399" w:rsidRDefault="00BD053A" w:rsidP="00627F4A">
            <w:pPr>
              <w:pStyle w:val="abstractt0"/>
              <w:spacing w:before="240" w:after="120" w:afterAutospacing="0" w:line="240" w:lineRule="auto"/>
              <w:ind w:left="0" w:right="0" w:firstLine="0"/>
              <w:rPr>
                <w:rFonts w:ascii="Garamond" w:hAnsi="Garamond"/>
                <w:color w:val="1F4E79" w:themeColor="accent1" w:themeShade="80"/>
                <w:sz w:val="18"/>
                <w:szCs w:val="18"/>
                <w:lang w:val="es-CO"/>
              </w:rPr>
            </w:pPr>
            <w:r w:rsidRPr="00AA0399">
              <w:rPr>
                <w:rFonts w:ascii="Garamond" w:hAnsi="Garamond"/>
                <w:b/>
                <w:bCs/>
                <w:lang w:val="es-CO"/>
              </w:rPr>
              <w:t>Palabras clave</w:t>
            </w:r>
            <w:r w:rsidR="00274E05" w:rsidRPr="00AA0399">
              <w:rPr>
                <w:rFonts w:ascii="Garamond" w:hAnsi="Garamond"/>
                <w:b/>
                <w:bCs/>
                <w:lang w:val="es-CO"/>
              </w:rPr>
              <w:t>:</w:t>
            </w:r>
            <w:r w:rsidR="00C1356F" w:rsidRPr="00AA0399">
              <w:rPr>
                <w:rFonts w:ascii="Garamond" w:hAnsi="Garamond"/>
                <w:b/>
                <w:bCs/>
                <w:lang w:val="es-CO"/>
              </w:rPr>
              <w:t xml:space="preserve"> </w:t>
            </w:r>
            <w:r w:rsidR="00AA0399" w:rsidRPr="00AA0399">
              <w:rPr>
                <w:rFonts w:ascii="Garamond" w:hAnsi="Garamond"/>
                <w:lang w:val="es-CO"/>
              </w:rPr>
              <w:t>Logística, clusterización, localización, centros médicos temporales (CMT)</w:t>
            </w:r>
            <w:r w:rsidR="00274E05" w:rsidRPr="00AA0399">
              <w:rPr>
                <w:rFonts w:ascii="Garamond" w:hAnsi="Garamond"/>
                <w:lang w:val="es-CO"/>
              </w:rPr>
              <w:t>.</w:t>
            </w:r>
          </w:p>
        </w:tc>
      </w:tr>
    </w:tbl>
    <w:p w14:paraId="34A34273" w14:textId="3E81E186" w:rsidR="00732C33" w:rsidRPr="00BD053A" w:rsidRDefault="00732C33" w:rsidP="0077346F">
      <w:pPr>
        <w:pStyle w:val="BODY0"/>
        <w:bidi/>
        <w:ind w:left="0"/>
        <w:rPr>
          <w:rFonts w:cstheme="minorBidi"/>
          <w:sz w:val="18"/>
          <w:szCs w:val="14"/>
          <w:rtl/>
          <w:lang w:bidi="fa-IR"/>
        </w:rPr>
      </w:pPr>
    </w:p>
    <w:p w14:paraId="38E84A8E" w14:textId="77777777" w:rsidR="00426704" w:rsidRPr="00AA0399" w:rsidRDefault="00426704" w:rsidP="00C17453">
      <w:pPr>
        <w:pStyle w:val="HEADING10"/>
      </w:pPr>
    </w:p>
    <w:p w14:paraId="67D81C03" w14:textId="7A343899" w:rsidR="00426704" w:rsidRPr="00AA0399" w:rsidRDefault="00426704" w:rsidP="00C17453">
      <w:pPr>
        <w:pStyle w:val="HEADING10"/>
      </w:pPr>
    </w:p>
    <w:p w14:paraId="406C3F44" w14:textId="13C3ECF2" w:rsidR="00426704" w:rsidRPr="00AA0399" w:rsidRDefault="00426704" w:rsidP="00C17453">
      <w:pPr>
        <w:pStyle w:val="HEADING10"/>
      </w:pPr>
    </w:p>
    <w:p w14:paraId="7DC3F5B0" w14:textId="77777777" w:rsidR="00426704" w:rsidRPr="00AA0399" w:rsidRDefault="00426704" w:rsidP="00BD053A">
      <w:pPr>
        <w:pStyle w:val="BODY0"/>
        <w:ind w:left="0"/>
      </w:pPr>
    </w:p>
    <w:p w14:paraId="1D4F8A1D" w14:textId="77777777" w:rsidR="007660D1" w:rsidRPr="00F03179" w:rsidRDefault="007660D1" w:rsidP="00C17453">
      <w:pPr>
        <w:pStyle w:val="HEADING10"/>
      </w:pPr>
    </w:p>
    <w:p w14:paraId="2D97D584" w14:textId="77777777" w:rsidR="007660D1" w:rsidRPr="00F03179" w:rsidRDefault="007660D1" w:rsidP="00C17453">
      <w:pPr>
        <w:pStyle w:val="HEADING10"/>
      </w:pPr>
    </w:p>
    <w:p w14:paraId="1DADB40F" w14:textId="77777777" w:rsidR="007660D1" w:rsidRPr="00F03179" w:rsidRDefault="007660D1" w:rsidP="00C17453">
      <w:pPr>
        <w:pStyle w:val="HEADING10"/>
      </w:pPr>
    </w:p>
    <w:p w14:paraId="7FF006D5" w14:textId="77777777" w:rsidR="007660D1" w:rsidRPr="00F03179" w:rsidRDefault="007660D1" w:rsidP="00C17453">
      <w:pPr>
        <w:pStyle w:val="HEADING10"/>
      </w:pPr>
    </w:p>
    <w:p w14:paraId="6C7CC449" w14:textId="3576B4EE" w:rsidR="00ED7BAC" w:rsidRPr="00F03179" w:rsidRDefault="0076763F" w:rsidP="00C17453">
      <w:pPr>
        <w:pStyle w:val="HEADING10"/>
      </w:pPr>
      <w:r w:rsidRPr="00F03179">
        <w:t>1</w:t>
      </w:r>
      <w:r w:rsidR="00ED7BAC" w:rsidRPr="00F03179">
        <w:t>|Introduc</w:t>
      </w:r>
      <w:r w:rsidR="007660D1" w:rsidRPr="00F03179">
        <w:t>ción</w:t>
      </w:r>
      <w:r w:rsidR="00D14B7A" w:rsidRPr="00F03179">
        <w:tab/>
      </w:r>
      <w:r w:rsidR="0074311A" w:rsidRPr="00F03179">
        <w:tab/>
      </w:r>
    </w:p>
    <w:p w14:paraId="337FD2BE" w14:textId="3937374F" w:rsidR="00686D52" w:rsidRPr="00686D52" w:rsidRDefault="00686D52" w:rsidP="00686D52">
      <w:pPr>
        <w:pStyle w:val="BODY0"/>
      </w:pPr>
      <w:r w:rsidRPr="00686D52">
        <w:t>En 2024 alrededor del mundo se registraron 393 desastres naturales, los cuales dejaron un balance de 16.753 muertes, afectaron a 167,2 millones de personas y generaron pérdidas económicas por 241.950 millones de dólares. Aunque la ocurrencia de terremotos disminuyó comparado con años anteriores, continúan destacándose como una de las amenazas más letales. El evento sísmico más significativo del año tuvo lugar el 1 de enero en Japón, dejando 551 fallecidos y pérdidas económicas de 15.000 millones de dólares, siendo así el tercer desastre más costoso de 2024 (Centre for Research on the Epidemiology of Disasters (CRED), 2025).</w:t>
      </w:r>
    </w:p>
    <w:p w14:paraId="49C48483" w14:textId="10008412" w:rsidR="00686D52" w:rsidRPr="00686D52" w:rsidRDefault="00686D52" w:rsidP="00686D52">
      <w:pPr>
        <w:pStyle w:val="BODY0"/>
      </w:pPr>
      <w:r w:rsidRPr="00686D52">
        <w:t>De ahí surge la necesidad de brindar una preparación y una respuesta adecuada ante este tipo de eventos, debido a la elevada demanda de víctimas que generan, la incertidumbre en las condiciones del territorio y la complejidad logística cuando suceden en áreas densamente pobladas. Por ello, se ha desarrollado la logística humanitaria para gestionar la preparación y respuesta ante desastres, con el fin de reducir el impacto en la población afectada, brindar atención y descongestionar hospitales colapsados tras el desastre</w:t>
      </w:r>
      <w:r w:rsidR="00AB6A10">
        <w:t xml:space="preserve"> </w:t>
      </w:r>
      <w:r w:rsidR="00AB6A10" w:rsidRPr="00AB6A10">
        <w:t>(Ahadi-Javid et al., 2017; Oksuz &amp; Satoglu, 2024).</w:t>
      </w:r>
    </w:p>
    <w:p w14:paraId="131C65FE" w14:textId="77777777" w:rsidR="00686D52" w:rsidRPr="00686D52" w:rsidRDefault="00686D52" w:rsidP="00686D52">
      <w:pPr>
        <w:pStyle w:val="BODY0"/>
      </w:pPr>
    </w:p>
    <w:p w14:paraId="57D62204" w14:textId="52FAB446" w:rsidR="00686D52" w:rsidRPr="00686D52" w:rsidRDefault="00686D52" w:rsidP="00686D52">
      <w:pPr>
        <w:pStyle w:val="BODY0"/>
      </w:pPr>
      <w:r w:rsidRPr="00686D52">
        <w:lastRenderedPageBreak/>
        <w:t>El aumento en la frecuencia y la intensidad de los desastres genera escenarios críticos para la atención de emergencias, debido a la demanda de personas afectadas que llegan a superar la capacidad instalada de la región. A este contexto, se debe añadir la incertidumbre asociada con las condiciones de movilidad y accesibilidad tras un desastre, especialmente durante las primeras 72 horas posteriores al evento</w:t>
      </w:r>
      <w:r w:rsidR="000A5889">
        <w:t xml:space="preserve"> </w:t>
      </w:r>
      <w:r w:rsidR="000A5889" w:rsidRPr="000A5889">
        <w:t>(Gulzari &amp; Tarakci, 2021)</w:t>
      </w:r>
      <w:r w:rsidRPr="00686D52">
        <w:t>. A pesar de este diagnóstico inicial, la planificación municipal se limita a protocolos generales sin una caracterización local consolidada para planificar una respuesta eficiente y oportuna (UMGRDCC, 2021).</w:t>
      </w:r>
    </w:p>
    <w:p w14:paraId="2A2A599B" w14:textId="77777777" w:rsidR="00643AB9" w:rsidRDefault="00686D52" w:rsidP="00686D52">
      <w:pPr>
        <w:pStyle w:val="BODY0"/>
      </w:pPr>
      <w:r w:rsidRPr="00686D52">
        <w:t>Bajo esta perspectiva, la localización de CMT se consolida como una decisión clave, debido a que define con anticipación puntos de atención temporal bajo restricciones de accesibilidad y bajo condiciones no favorables de movilidad. Sin embargo, se evidencia un vacío de aplicación en países de Latinoamérica, ya que la evidencia aplicada se centra en contextos asiáticos, como Turquía, Irán, China, India y Taiwán</w:t>
      </w:r>
      <w:r w:rsidR="00BB1C08">
        <w:t xml:space="preserve"> </w:t>
      </w:r>
      <w:r w:rsidR="00BB1C08" w:rsidRPr="00BB1C08">
        <w:t>(Carnero Quispe et al., 2025; Garrido et al., 2022)</w:t>
      </w:r>
      <w:r w:rsidRPr="00686D52">
        <w:t xml:space="preserve">. </w:t>
      </w:r>
    </w:p>
    <w:p w14:paraId="4F22CDB8" w14:textId="271DB1B5" w:rsidR="001103A1" w:rsidRPr="00686D52" w:rsidRDefault="00B2112A" w:rsidP="00686D52">
      <w:pPr>
        <w:pStyle w:val="BODY0"/>
      </w:pPr>
      <w:r w:rsidRPr="00B2112A">
        <w:t>P</w:t>
      </w:r>
      <w:r w:rsidR="008F71D1">
        <w:t>or</w:t>
      </w:r>
      <w:r w:rsidRPr="00B2112A">
        <w:t xml:space="preserve"> ello, </w:t>
      </w:r>
      <w:r w:rsidR="00F42F51">
        <w:t xml:space="preserve">este </w:t>
      </w:r>
      <w:r w:rsidR="00327665">
        <w:t>estudio</w:t>
      </w:r>
      <w:r w:rsidR="00F42F51">
        <w:t xml:space="preserve"> </w:t>
      </w:r>
      <w:r w:rsidR="00F42F51" w:rsidRPr="00F42F51">
        <w:t xml:space="preserve">propone un modelo multifase para apoyar decisiones de localización de CMT en la </w:t>
      </w:r>
      <w:r w:rsidR="00875322">
        <w:t xml:space="preserve">ciudad </w:t>
      </w:r>
      <w:r w:rsidR="00B3664A">
        <w:t>de Bucaramanga</w:t>
      </w:r>
      <w:r w:rsidRPr="00B2112A">
        <w:t xml:space="preserve">, </w:t>
      </w:r>
      <w:r w:rsidR="00B3664A">
        <w:t xml:space="preserve">que </w:t>
      </w:r>
      <w:r w:rsidRPr="00B2112A">
        <w:t>genera esquemas de localización a partir de una fase inicial de clusterización, definiendo un número de clústeres que permitan formar grupos con alta concentración poblacional y niveles significativos de vulnerabilidad, luego, con base en el número de clústeres definidos, en la fase de localización, se determina dónde ubicar los centros médicos temporales requeridos en Bucaramanga dentro de cada clúster, evaluando su cobertura en la ciudad y en las zonas más vulnerables ante este riesgo.</w:t>
      </w:r>
    </w:p>
    <w:p w14:paraId="583CC261" w14:textId="77777777" w:rsidR="00BB1A2B" w:rsidRDefault="00BD053A" w:rsidP="00BB1A2B">
      <w:pPr>
        <w:pStyle w:val="HEADING10"/>
      </w:pPr>
      <w:r w:rsidRPr="005048A3">
        <w:t xml:space="preserve">2|Revisión de </w:t>
      </w:r>
      <w:r w:rsidR="003C0E82" w:rsidRPr="005048A3">
        <w:t>l</w:t>
      </w:r>
      <w:r w:rsidRPr="005048A3">
        <w:t>iteratura</w:t>
      </w:r>
    </w:p>
    <w:p w14:paraId="060EB5AA" w14:textId="326EF4E1" w:rsidR="00E62991" w:rsidRPr="00F03179" w:rsidRDefault="00E62991" w:rsidP="00E85490">
      <w:pPr>
        <w:pStyle w:val="BODY0"/>
        <w:rPr>
          <w:bCs/>
          <w:lang w:val="en-US"/>
        </w:rPr>
      </w:pPr>
      <w:r w:rsidRPr="00E62991">
        <w:rPr>
          <w:bCs/>
        </w:rPr>
        <w:t xml:space="preserve">Para desarrollar la revisión de literatura, se partió de la construcción de una ecuación de búsqueda enfocada en cuatro conceptos principales: logística humanitaria, desastres sísmicos, localización y centros médicos temporales (CMT). Estos conceptos se organizan con sus equivalentes en inglés, sus sinónimos y términos relacionados de forma estructurada (ver </w:t>
      </w:r>
      <w:r>
        <w:rPr>
          <w:bCs/>
        </w:rPr>
        <w:t>Tabla</w:t>
      </w:r>
      <w:r w:rsidRPr="00E62991">
        <w:rPr>
          <w:bCs/>
        </w:rPr>
        <w:t xml:space="preserve">. </w:t>
      </w:r>
      <w:r w:rsidRPr="00F03179">
        <w:rPr>
          <w:bCs/>
          <w:lang w:val="en-US"/>
        </w:rPr>
        <w:t xml:space="preserve">1), y se </w:t>
      </w:r>
      <w:proofErr w:type="spellStart"/>
      <w:r w:rsidRPr="00F03179">
        <w:rPr>
          <w:bCs/>
          <w:lang w:val="en-US"/>
        </w:rPr>
        <w:t>obtiene</w:t>
      </w:r>
      <w:proofErr w:type="spellEnd"/>
      <w:r w:rsidRPr="00F03179">
        <w:rPr>
          <w:bCs/>
          <w:lang w:val="en-US"/>
        </w:rPr>
        <w:t xml:space="preserve"> la </w:t>
      </w:r>
      <w:proofErr w:type="spellStart"/>
      <w:r w:rsidRPr="00F03179">
        <w:rPr>
          <w:bCs/>
          <w:lang w:val="en-US"/>
        </w:rPr>
        <w:t>siguiente</w:t>
      </w:r>
      <w:proofErr w:type="spellEnd"/>
      <w:r w:rsidRPr="00F03179">
        <w:rPr>
          <w:bCs/>
          <w:lang w:val="en-US"/>
        </w:rPr>
        <w:t xml:space="preserve"> </w:t>
      </w:r>
      <w:proofErr w:type="spellStart"/>
      <w:r w:rsidRPr="00F03179">
        <w:rPr>
          <w:bCs/>
          <w:lang w:val="en-US"/>
        </w:rPr>
        <w:t>ecuación</w:t>
      </w:r>
      <w:proofErr w:type="spellEnd"/>
      <w:r w:rsidRPr="00F03179">
        <w:rPr>
          <w:bCs/>
          <w:lang w:val="en-US"/>
        </w:rPr>
        <w:t xml:space="preserve"> de </w:t>
      </w:r>
      <w:proofErr w:type="spellStart"/>
      <w:r w:rsidRPr="00F03179">
        <w:rPr>
          <w:bCs/>
          <w:lang w:val="en-US"/>
        </w:rPr>
        <w:t>búsqueda</w:t>
      </w:r>
      <w:proofErr w:type="spellEnd"/>
      <w:r w:rsidRPr="00F03179">
        <w:rPr>
          <w:bCs/>
          <w:lang w:val="en-US"/>
        </w:rPr>
        <w:t>:</w:t>
      </w:r>
    </w:p>
    <w:p w14:paraId="36A33FB3" w14:textId="0C68753B" w:rsidR="006C6CF8" w:rsidRDefault="006C6CF8" w:rsidP="006C6CF8">
      <w:pPr>
        <w:pStyle w:val="BODY0"/>
        <w:jc w:val="left"/>
        <w:rPr>
          <w:b/>
          <w:lang w:val="en-US"/>
        </w:rPr>
      </w:pPr>
      <w:r w:rsidRPr="006C6CF8">
        <w:rPr>
          <w:lang w:val="en-US"/>
        </w:rPr>
        <w:t>("Disaster response" OR "Disaster Relief" OR "Emergency response" OR "humanitarian logistics" OR "humanitarian supply chain") AND (earthquake* OR seismic*) AND (location OR allocation) AND (hospital* OR healthcare OR "Health care" OR "Medical Center*")</w:t>
      </w:r>
    </w:p>
    <w:p w14:paraId="2EEA2535" w14:textId="152F7366" w:rsidR="00E85490" w:rsidRPr="000C2511" w:rsidRDefault="00E85490" w:rsidP="00E728AE">
      <w:pPr>
        <w:pStyle w:val="Figure"/>
        <w:spacing w:after="0"/>
      </w:pPr>
      <w:r w:rsidRPr="00F03179">
        <w:t>Tabl</w:t>
      </w:r>
      <w:r w:rsidR="00C63510" w:rsidRPr="00F03179">
        <w:t>a</w:t>
      </w:r>
      <w:r w:rsidRPr="00F03179">
        <w:t xml:space="preserve"> 1. </w:t>
      </w:r>
      <w:r w:rsidR="000C2511" w:rsidRPr="000C2511">
        <w:t>Estructuración de ecuación de búsqueda.</w:t>
      </w:r>
    </w:p>
    <w:tbl>
      <w:tblPr>
        <w:tblW w:w="9176" w:type="dxa"/>
        <w:jc w:val="center"/>
        <w:tblBorders>
          <w:top w:val="single" w:sz="4" w:space="0" w:color="auto"/>
          <w:bottom w:val="single" w:sz="4" w:space="0" w:color="auto"/>
        </w:tblBorders>
        <w:shd w:val="clear" w:color="auto" w:fill="FFFFFF" w:themeFill="background1"/>
        <w:tblLook w:val="04A0" w:firstRow="1" w:lastRow="0" w:firstColumn="1" w:lastColumn="0" w:noHBand="0" w:noVBand="1"/>
      </w:tblPr>
      <w:tblGrid>
        <w:gridCol w:w="3544"/>
        <w:gridCol w:w="1843"/>
        <w:gridCol w:w="1559"/>
        <w:gridCol w:w="2230"/>
      </w:tblGrid>
      <w:tr w:rsidR="00E85490" w:rsidRPr="00E85490" w14:paraId="52A11640" w14:textId="77777777" w:rsidTr="00E85490">
        <w:trPr>
          <w:trHeight w:val="293"/>
          <w:jc w:val="center"/>
        </w:trPr>
        <w:tc>
          <w:tcPr>
            <w:tcW w:w="9176" w:type="dxa"/>
            <w:gridSpan w:val="4"/>
            <w:tcBorders>
              <w:bottom w:val="single" w:sz="4" w:space="0" w:color="auto"/>
            </w:tcBorders>
            <w:shd w:val="clear" w:color="auto" w:fill="FFFFFF" w:themeFill="background1"/>
            <w:vAlign w:val="center"/>
            <w:hideMark/>
          </w:tcPr>
          <w:p w14:paraId="005EDF17" w14:textId="77777777" w:rsidR="00E85490" w:rsidRPr="00E85490" w:rsidRDefault="00E85490" w:rsidP="00E728AE">
            <w:pPr>
              <w:pStyle w:val="TABLECONTENT"/>
              <w:framePr w:hSpace="0" w:wrap="auto" w:vAnchor="margin" w:hAnchor="text" w:xAlign="left" w:yAlign="inline"/>
              <w:suppressOverlap w:val="0"/>
              <w:jc w:val="center"/>
              <w:rPr>
                <w:b/>
                <w:bCs/>
                <w:lang w:val="es-CO"/>
              </w:rPr>
            </w:pPr>
            <w:r w:rsidRPr="00E85490">
              <w:rPr>
                <w:b/>
                <w:bCs/>
                <w:lang w:val="es-CO"/>
              </w:rPr>
              <w:t>Criterios de búsqueda</w:t>
            </w:r>
          </w:p>
        </w:tc>
      </w:tr>
      <w:tr w:rsidR="00E85490" w:rsidRPr="00E85490" w14:paraId="627C8454" w14:textId="77777777" w:rsidTr="00E85490">
        <w:trPr>
          <w:trHeight w:val="454"/>
          <w:jc w:val="center"/>
        </w:trPr>
        <w:tc>
          <w:tcPr>
            <w:tcW w:w="3544" w:type="dxa"/>
            <w:shd w:val="clear" w:color="auto" w:fill="FFFFFF" w:themeFill="background1"/>
            <w:vAlign w:val="center"/>
            <w:hideMark/>
          </w:tcPr>
          <w:p w14:paraId="08DF6521" w14:textId="77777777" w:rsidR="00E85490" w:rsidRPr="00E85490" w:rsidRDefault="00E85490" w:rsidP="00E728AE">
            <w:pPr>
              <w:pStyle w:val="TABLECONTENT"/>
              <w:framePr w:hSpace="0" w:wrap="auto" w:vAnchor="margin" w:hAnchor="text" w:xAlign="left" w:yAlign="inline"/>
              <w:suppressOverlap w:val="0"/>
              <w:rPr>
                <w:b/>
                <w:bCs/>
                <w:lang w:val="es-CO"/>
              </w:rPr>
            </w:pPr>
            <w:r w:rsidRPr="00E85490">
              <w:rPr>
                <w:b/>
                <w:bCs/>
                <w:lang w:val="es-CO"/>
              </w:rPr>
              <w:t>Logística humanitaria</w:t>
            </w:r>
          </w:p>
        </w:tc>
        <w:tc>
          <w:tcPr>
            <w:tcW w:w="1843" w:type="dxa"/>
            <w:shd w:val="clear" w:color="auto" w:fill="FFFFFF" w:themeFill="background1"/>
            <w:vAlign w:val="center"/>
            <w:hideMark/>
          </w:tcPr>
          <w:p w14:paraId="7D37569C" w14:textId="77777777" w:rsidR="00E85490" w:rsidRPr="00E85490" w:rsidRDefault="00E85490" w:rsidP="00E728AE">
            <w:pPr>
              <w:pStyle w:val="TABLECONTENT"/>
              <w:framePr w:hSpace="0" w:wrap="auto" w:vAnchor="margin" w:hAnchor="text" w:xAlign="left" w:yAlign="inline"/>
              <w:suppressOverlap w:val="0"/>
              <w:rPr>
                <w:b/>
                <w:bCs/>
                <w:lang w:val="es-CO"/>
              </w:rPr>
            </w:pPr>
            <w:r w:rsidRPr="00E85490">
              <w:rPr>
                <w:b/>
                <w:bCs/>
                <w:lang w:val="es-CO"/>
              </w:rPr>
              <w:t>Terremotos</w:t>
            </w:r>
          </w:p>
        </w:tc>
        <w:tc>
          <w:tcPr>
            <w:tcW w:w="1559" w:type="dxa"/>
            <w:shd w:val="clear" w:color="auto" w:fill="FFFFFF" w:themeFill="background1"/>
            <w:vAlign w:val="center"/>
            <w:hideMark/>
          </w:tcPr>
          <w:p w14:paraId="4F02A4A5" w14:textId="77777777" w:rsidR="00E85490" w:rsidRPr="00E85490" w:rsidRDefault="00E85490" w:rsidP="00E728AE">
            <w:pPr>
              <w:pStyle w:val="TABLECONTENT"/>
              <w:framePr w:hSpace="0" w:wrap="auto" w:vAnchor="margin" w:hAnchor="text" w:xAlign="left" w:yAlign="inline"/>
              <w:suppressOverlap w:val="0"/>
              <w:rPr>
                <w:b/>
                <w:bCs/>
                <w:lang w:val="es-CO"/>
              </w:rPr>
            </w:pPr>
            <w:r w:rsidRPr="00E85490">
              <w:rPr>
                <w:b/>
                <w:bCs/>
                <w:lang w:val="es-CO"/>
              </w:rPr>
              <w:t>Localización</w:t>
            </w:r>
          </w:p>
        </w:tc>
        <w:tc>
          <w:tcPr>
            <w:tcW w:w="2230" w:type="dxa"/>
            <w:shd w:val="clear" w:color="auto" w:fill="FFFFFF" w:themeFill="background1"/>
            <w:vAlign w:val="center"/>
            <w:hideMark/>
          </w:tcPr>
          <w:p w14:paraId="33731F17" w14:textId="77777777" w:rsidR="00E85490" w:rsidRPr="00E85490" w:rsidRDefault="00E85490" w:rsidP="00E728AE">
            <w:pPr>
              <w:pStyle w:val="TABLECONTENT"/>
              <w:framePr w:hSpace="0" w:wrap="auto" w:vAnchor="margin" w:hAnchor="text" w:xAlign="left" w:yAlign="inline"/>
              <w:suppressOverlap w:val="0"/>
              <w:rPr>
                <w:b/>
                <w:bCs/>
                <w:lang w:val="es-CO"/>
              </w:rPr>
            </w:pPr>
            <w:r w:rsidRPr="00E85490">
              <w:rPr>
                <w:b/>
                <w:bCs/>
                <w:lang w:val="es-CO"/>
              </w:rPr>
              <w:t>Organización Atención médica</w:t>
            </w:r>
          </w:p>
        </w:tc>
      </w:tr>
      <w:tr w:rsidR="00E85490" w:rsidRPr="00E85490" w14:paraId="07E838BC" w14:textId="77777777" w:rsidTr="00E85490">
        <w:trPr>
          <w:trHeight w:val="317"/>
          <w:jc w:val="center"/>
        </w:trPr>
        <w:tc>
          <w:tcPr>
            <w:tcW w:w="3544" w:type="dxa"/>
            <w:shd w:val="clear" w:color="auto" w:fill="FFFFFF" w:themeFill="background1"/>
            <w:vAlign w:val="center"/>
            <w:hideMark/>
          </w:tcPr>
          <w:p w14:paraId="5DED7596"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Respuesta ante desastres</w:t>
            </w:r>
          </w:p>
        </w:tc>
        <w:tc>
          <w:tcPr>
            <w:tcW w:w="1843" w:type="dxa"/>
            <w:shd w:val="clear" w:color="auto" w:fill="FFFFFF" w:themeFill="background1"/>
            <w:vAlign w:val="center"/>
            <w:hideMark/>
          </w:tcPr>
          <w:p w14:paraId="79C4EAFB"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Terremoto(s)</w:t>
            </w:r>
          </w:p>
        </w:tc>
        <w:tc>
          <w:tcPr>
            <w:tcW w:w="1559" w:type="dxa"/>
            <w:shd w:val="clear" w:color="auto" w:fill="FFFFFF" w:themeFill="background1"/>
            <w:vAlign w:val="center"/>
            <w:hideMark/>
          </w:tcPr>
          <w:p w14:paraId="1277AA2E"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Ubicación</w:t>
            </w:r>
          </w:p>
        </w:tc>
        <w:tc>
          <w:tcPr>
            <w:tcW w:w="2230" w:type="dxa"/>
            <w:shd w:val="clear" w:color="auto" w:fill="FFFFFF" w:themeFill="background1"/>
            <w:vAlign w:val="center"/>
            <w:hideMark/>
          </w:tcPr>
          <w:p w14:paraId="13C85817"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Hospital(es)</w:t>
            </w:r>
          </w:p>
        </w:tc>
      </w:tr>
      <w:tr w:rsidR="00E85490" w:rsidRPr="00E85490" w14:paraId="0858B27C" w14:textId="77777777" w:rsidTr="00E85490">
        <w:trPr>
          <w:trHeight w:val="113"/>
          <w:jc w:val="center"/>
        </w:trPr>
        <w:tc>
          <w:tcPr>
            <w:tcW w:w="3544" w:type="dxa"/>
            <w:shd w:val="clear" w:color="auto" w:fill="FFFFFF" w:themeFill="background1"/>
            <w:vAlign w:val="center"/>
            <w:hideMark/>
          </w:tcPr>
          <w:p w14:paraId="72D5379F"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Auxilio en caso de desastres</w:t>
            </w:r>
          </w:p>
        </w:tc>
        <w:tc>
          <w:tcPr>
            <w:tcW w:w="1843" w:type="dxa"/>
            <w:shd w:val="clear" w:color="auto" w:fill="FFFFFF" w:themeFill="background1"/>
            <w:vAlign w:val="center"/>
            <w:hideMark/>
          </w:tcPr>
          <w:p w14:paraId="78C3B8DB"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Sísmico(s)</w:t>
            </w:r>
          </w:p>
        </w:tc>
        <w:tc>
          <w:tcPr>
            <w:tcW w:w="1559" w:type="dxa"/>
            <w:shd w:val="clear" w:color="auto" w:fill="FFFFFF" w:themeFill="background1"/>
            <w:vAlign w:val="center"/>
            <w:hideMark/>
          </w:tcPr>
          <w:p w14:paraId="0797B18F"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Asignación</w:t>
            </w:r>
          </w:p>
        </w:tc>
        <w:tc>
          <w:tcPr>
            <w:tcW w:w="2230" w:type="dxa"/>
            <w:shd w:val="clear" w:color="auto" w:fill="FFFFFF" w:themeFill="background1"/>
            <w:vAlign w:val="center"/>
            <w:hideMark/>
          </w:tcPr>
          <w:p w14:paraId="61836223"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Atención médica</w:t>
            </w:r>
          </w:p>
        </w:tc>
      </w:tr>
      <w:tr w:rsidR="00E85490" w:rsidRPr="00E85490" w14:paraId="5CBA276E" w14:textId="77777777" w:rsidTr="00E85490">
        <w:trPr>
          <w:trHeight w:val="227"/>
          <w:jc w:val="center"/>
        </w:trPr>
        <w:tc>
          <w:tcPr>
            <w:tcW w:w="3544" w:type="dxa"/>
            <w:shd w:val="clear" w:color="auto" w:fill="FFFFFF" w:themeFill="background1"/>
            <w:vAlign w:val="center"/>
            <w:hideMark/>
          </w:tcPr>
          <w:p w14:paraId="4DC3E363"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Respuesta de emergencias</w:t>
            </w:r>
          </w:p>
        </w:tc>
        <w:tc>
          <w:tcPr>
            <w:tcW w:w="1843" w:type="dxa"/>
            <w:shd w:val="clear" w:color="auto" w:fill="FFFFFF" w:themeFill="background1"/>
            <w:vAlign w:val="center"/>
            <w:hideMark/>
          </w:tcPr>
          <w:p w14:paraId="6EF72A79"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1559" w:type="dxa"/>
            <w:shd w:val="clear" w:color="auto" w:fill="FFFFFF" w:themeFill="background1"/>
            <w:vAlign w:val="center"/>
            <w:hideMark/>
          </w:tcPr>
          <w:p w14:paraId="1B25582C"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2230" w:type="dxa"/>
            <w:shd w:val="clear" w:color="auto" w:fill="FFFFFF" w:themeFill="background1"/>
            <w:vAlign w:val="center"/>
            <w:hideMark/>
          </w:tcPr>
          <w:p w14:paraId="02B45F56"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Centro(s) médico(s)</w:t>
            </w:r>
          </w:p>
        </w:tc>
      </w:tr>
      <w:tr w:rsidR="00E85490" w:rsidRPr="00E85490" w14:paraId="377D505E" w14:textId="77777777" w:rsidTr="00E85490">
        <w:trPr>
          <w:trHeight w:val="170"/>
          <w:jc w:val="center"/>
        </w:trPr>
        <w:tc>
          <w:tcPr>
            <w:tcW w:w="3544" w:type="dxa"/>
            <w:shd w:val="clear" w:color="auto" w:fill="FFFFFF" w:themeFill="background1"/>
            <w:vAlign w:val="center"/>
            <w:hideMark/>
          </w:tcPr>
          <w:p w14:paraId="6C8781D9"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Logística humanitaria</w:t>
            </w:r>
          </w:p>
        </w:tc>
        <w:tc>
          <w:tcPr>
            <w:tcW w:w="1843" w:type="dxa"/>
            <w:shd w:val="clear" w:color="auto" w:fill="FFFFFF" w:themeFill="background1"/>
            <w:vAlign w:val="center"/>
            <w:hideMark/>
          </w:tcPr>
          <w:p w14:paraId="258D5F57"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1559" w:type="dxa"/>
            <w:shd w:val="clear" w:color="auto" w:fill="FFFFFF" w:themeFill="background1"/>
            <w:vAlign w:val="center"/>
            <w:hideMark/>
          </w:tcPr>
          <w:p w14:paraId="3B8F49AC"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2230" w:type="dxa"/>
            <w:shd w:val="clear" w:color="auto" w:fill="FFFFFF" w:themeFill="background1"/>
            <w:vAlign w:val="center"/>
            <w:hideMark/>
          </w:tcPr>
          <w:p w14:paraId="030A26C0"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r>
      <w:tr w:rsidR="00E85490" w:rsidRPr="00E85490" w14:paraId="55518E89" w14:textId="77777777" w:rsidTr="00E85490">
        <w:trPr>
          <w:trHeight w:val="340"/>
          <w:jc w:val="center"/>
        </w:trPr>
        <w:tc>
          <w:tcPr>
            <w:tcW w:w="3544" w:type="dxa"/>
            <w:shd w:val="clear" w:color="auto" w:fill="FFFFFF" w:themeFill="background1"/>
            <w:vAlign w:val="center"/>
            <w:hideMark/>
          </w:tcPr>
          <w:p w14:paraId="5D80FDF7"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Cadena de suministro humanitario</w:t>
            </w:r>
          </w:p>
        </w:tc>
        <w:tc>
          <w:tcPr>
            <w:tcW w:w="1843" w:type="dxa"/>
            <w:shd w:val="clear" w:color="auto" w:fill="FFFFFF" w:themeFill="background1"/>
            <w:vAlign w:val="center"/>
            <w:hideMark/>
          </w:tcPr>
          <w:p w14:paraId="389BD914"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1559" w:type="dxa"/>
            <w:shd w:val="clear" w:color="auto" w:fill="FFFFFF" w:themeFill="background1"/>
            <w:vAlign w:val="center"/>
            <w:hideMark/>
          </w:tcPr>
          <w:p w14:paraId="4DE3A0C4"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c>
          <w:tcPr>
            <w:tcW w:w="2230" w:type="dxa"/>
            <w:shd w:val="clear" w:color="auto" w:fill="FFFFFF" w:themeFill="background1"/>
            <w:noWrap/>
            <w:vAlign w:val="center"/>
            <w:hideMark/>
          </w:tcPr>
          <w:p w14:paraId="309B6A80" w14:textId="77777777" w:rsidR="00E85490" w:rsidRPr="00E85490" w:rsidRDefault="00E85490" w:rsidP="00E728AE">
            <w:pPr>
              <w:pStyle w:val="TABLECONTENT"/>
              <w:framePr w:hSpace="0" w:wrap="auto" w:vAnchor="margin" w:hAnchor="text" w:xAlign="left" w:yAlign="inline"/>
              <w:suppressOverlap w:val="0"/>
              <w:rPr>
                <w:lang w:val="es-CO"/>
              </w:rPr>
            </w:pPr>
            <w:r w:rsidRPr="00E85490">
              <w:rPr>
                <w:lang w:val="es-CO"/>
              </w:rPr>
              <w:t> </w:t>
            </w:r>
          </w:p>
        </w:tc>
      </w:tr>
    </w:tbl>
    <w:p w14:paraId="714BB4AA" w14:textId="77777777" w:rsidR="00E85490" w:rsidRPr="00E85490" w:rsidRDefault="00E85490" w:rsidP="00E85490">
      <w:pPr>
        <w:pStyle w:val="TABLECONTENT"/>
        <w:framePr w:hSpace="0" w:wrap="auto" w:vAnchor="margin" w:hAnchor="text" w:xAlign="left" w:yAlign="inline"/>
        <w:suppressOverlap w:val="0"/>
        <w:rPr>
          <w:b/>
          <w:bCs/>
          <w:lang w:val="es-CO"/>
        </w:rPr>
      </w:pPr>
    </w:p>
    <w:p w14:paraId="5F9F2003" w14:textId="5E55ED85" w:rsidR="00BD053A" w:rsidRPr="00BB1A2B" w:rsidRDefault="00E62991" w:rsidP="00E62991">
      <w:pPr>
        <w:pStyle w:val="BODY0"/>
        <w:rPr>
          <w:bCs/>
        </w:rPr>
      </w:pPr>
      <w:r>
        <w:rPr>
          <w:bCs/>
        </w:rPr>
        <w:t>C</w:t>
      </w:r>
      <w:r w:rsidR="00BB1A2B" w:rsidRPr="00BB1A2B">
        <w:rPr>
          <w:bCs/>
        </w:rPr>
        <w:t>on el fin de enmarcar el problema y sustentar el enfoque del estudio, la revisión de literatura se estructura en tres apartados: (2.1) logística humanitaria y fases del desastre, (2.2) resultados relevantes y (2.3) tendencias y vacíos de investigación.</w:t>
      </w:r>
      <w:r w:rsidR="00BD053A" w:rsidRPr="00BB1A2B">
        <w:rPr>
          <w:bCs/>
        </w:rPr>
        <w:tab/>
      </w:r>
      <w:r w:rsidR="00BD053A" w:rsidRPr="00BB1A2B">
        <w:rPr>
          <w:bCs/>
        </w:rPr>
        <w:tab/>
      </w:r>
    </w:p>
    <w:p w14:paraId="600DA95C" w14:textId="40DF9853" w:rsidR="00D93B0F" w:rsidRDefault="00D93B0F" w:rsidP="00D93B0F">
      <w:pPr>
        <w:pStyle w:val="HEADING2"/>
      </w:pPr>
      <w:r w:rsidRPr="00D93B0F">
        <w:t>2.1|Logística humanitaria y las fases del desastre</w:t>
      </w:r>
    </w:p>
    <w:p w14:paraId="7FC54063" w14:textId="2AC46A59" w:rsidR="00D93B0F" w:rsidRDefault="00D93B0F" w:rsidP="00D93B0F">
      <w:pPr>
        <w:pStyle w:val="BODY0"/>
        <w:ind w:right="824"/>
      </w:pPr>
      <w:r>
        <w:t xml:space="preserve">La logística humanitaria ha surgido dentro de la literatura como una disciplina fundamental para atender poblaciones que se ven afectadas por la ocurrencia de desastres, a través de actividades que permiten planificar, transportar y distribuir recursos, infraestructura y servicios (Thomas &amp; Kopczak, 2005; Camacho-Vallejo et al., 2015). Su implementación es crucial a escala global, dado que se observa un incremento no solo en la frecuencia sino también en la severidad de los desastres, ya sean naturales o causados por el ser humano. En este escenario, se presenta la necesidad de tomar decisiones estratégicas como la de establecer centros médicos temporales (CMT) con el objetivo de garantizar un servicio de </w:t>
      </w:r>
      <w:r>
        <w:lastRenderedPageBreak/>
        <w:t>atención oportuno y eficiente para un gran número de personas lesionadas. Además, dentro de la literatura se reconoce que la ocurrencia de eventos sísmicos de gran escala puede afectar al mismo tiempo infraestructuras críticas, redes hospitalarias, vías de acceso y comunicaciones, lo que dificulta la logística médica en situaciones de emergencia. De este modo, el hecho de decidir dónde se ubicarán los CMT, no solo afecta la cobertura y la accesibilidad, sino que también repercute directamente en la eficiencia de la respuesta para garantizar la continuidad de la atención sanitaria</w:t>
      </w:r>
      <w:r w:rsidR="003F1F29">
        <w:t>.</w:t>
      </w:r>
      <w:r>
        <w:t xml:space="preserve"> Dentro de las etapas en la gestión de desastres</w:t>
      </w:r>
      <w:r w:rsidR="000C0C02">
        <w:t xml:space="preserve"> </w:t>
      </w:r>
      <w:r w:rsidR="00DA4954">
        <w:t>(</w:t>
      </w:r>
      <w:r w:rsidR="00962CB4" w:rsidRPr="00962CB4">
        <w:t xml:space="preserve">ver </w:t>
      </w:r>
      <w:r w:rsidR="00FC3173">
        <w:t>Tabla</w:t>
      </w:r>
      <w:r w:rsidR="00962CB4" w:rsidRPr="00962CB4">
        <w:t xml:space="preserve">. </w:t>
      </w:r>
      <w:r w:rsidR="00FC3173">
        <w:t>2</w:t>
      </w:r>
      <w:r w:rsidR="00962CB4" w:rsidRPr="00962CB4">
        <w:t>),</w:t>
      </w:r>
      <w:r w:rsidR="00962CB4">
        <w:t xml:space="preserve"> </w:t>
      </w:r>
      <w:r>
        <w:t>se contempla el problema de localización en la fase de preparación mediante la planificación, el análisis de riesgos y el diseño de estrategias de respuestas; sin embargo, también se considera como una decisión a tomar inmediatamente después de la ocurrencia del desastre en la fase de respuesta.</w:t>
      </w:r>
    </w:p>
    <w:p w14:paraId="00148A39" w14:textId="4E429742" w:rsidR="00FC3173" w:rsidRDefault="00FC3173" w:rsidP="00E728AE">
      <w:pPr>
        <w:pStyle w:val="Figure"/>
        <w:spacing w:after="0"/>
      </w:pPr>
      <w:r w:rsidRPr="00FC3173">
        <w:t>Tabl</w:t>
      </w:r>
      <w:r w:rsidR="00C63510">
        <w:t>a</w:t>
      </w:r>
      <w:r w:rsidRPr="00FC3173">
        <w:t xml:space="preserve"> </w:t>
      </w:r>
      <w:r>
        <w:t>2</w:t>
      </w:r>
      <w:r w:rsidRPr="00FC3173">
        <w:t xml:space="preserve">. </w:t>
      </w:r>
      <w:r w:rsidR="005E355F" w:rsidRPr="005E355F">
        <w:t>Fases de la gestión de desastre</w:t>
      </w:r>
      <w:r w:rsidRPr="000C2511">
        <w:t>.</w:t>
      </w:r>
    </w:p>
    <w:tbl>
      <w:tblPr>
        <w:tblW w:w="8930" w:type="dxa"/>
        <w:tblInd w:w="709" w:type="dxa"/>
        <w:tblBorders>
          <w:top w:val="single" w:sz="4" w:space="0" w:color="auto"/>
          <w:bottom w:val="single" w:sz="4" w:space="0" w:color="auto"/>
        </w:tblBorders>
        <w:shd w:val="clear" w:color="auto" w:fill="FFFFFF" w:themeFill="background1"/>
        <w:tblLayout w:type="fixed"/>
        <w:tblCellMar>
          <w:left w:w="0" w:type="dxa"/>
          <w:right w:w="0" w:type="dxa"/>
        </w:tblCellMar>
        <w:tblLook w:val="04A0" w:firstRow="1" w:lastRow="0" w:firstColumn="1" w:lastColumn="0" w:noHBand="0" w:noVBand="1"/>
      </w:tblPr>
      <w:tblGrid>
        <w:gridCol w:w="1559"/>
        <w:gridCol w:w="7371"/>
      </w:tblGrid>
      <w:tr w:rsidR="00FC3173" w:rsidRPr="0029586E" w14:paraId="1F4D6675" w14:textId="77777777" w:rsidTr="002735DF">
        <w:trPr>
          <w:trHeight w:val="624"/>
        </w:trPr>
        <w:tc>
          <w:tcPr>
            <w:tcW w:w="1559" w:type="dxa"/>
            <w:tcBorders>
              <w:top w:val="single" w:sz="4" w:space="0" w:color="auto"/>
              <w:bottom w:val="nil"/>
            </w:tcBorders>
            <w:shd w:val="clear" w:color="auto" w:fill="FFFFFF" w:themeFill="background1"/>
            <w:vAlign w:val="center"/>
          </w:tcPr>
          <w:p w14:paraId="7C80E2A7" w14:textId="77777777" w:rsidR="00FC3173" w:rsidRPr="00FC3173" w:rsidRDefault="00FC3173" w:rsidP="00E728AE">
            <w:pPr>
              <w:pStyle w:val="TABLECONTENT"/>
              <w:framePr w:hSpace="0" w:wrap="auto" w:vAnchor="margin" w:hAnchor="text" w:xAlign="left" w:yAlign="inline"/>
              <w:suppressOverlap w:val="0"/>
              <w:rPr>
                <w:b/>
                <w:bCs/>
                <w:lang w:val="es-CO"/>
              </w:rPr>
            </w:pPr>
            <w:r w:rsidRPr="00FC3173">
              <w:rPr>
                <w:b/>
                <w:bCs/>
                <w:lang w:val="es-CO"/>
              </w:rPr>
              <w:t>Mitigación</w:t>
            </w:r>
          </w:p>
        </w:tc>
        <w:tc>
          <w:tcPr>
            <w:tcW w:w="7371" w:type="dxa"/>
            <w:tcBorders>
              <w:top w:val="single" w:sz="4" w:space="0" w:color="auto"/>
              <w:bottom w:val="nil"/>
            </w:tcBorders>
            <w:shd w:val="clear" w:color="auto" w:fill="FFFFFF" w:themeFill="background1"/>
            <w:vAlign w:val="center"/>
          </w:tcPr>
          <w:p w14:paraId="778408AA" w14:textId="77777777" w:rsidR="00FC3173" w:rsidRPr="00FC3173" w:rsidRDefault="00FC3173" w:rsidP="00E728AE">
            <w:pPr>
              <w:pStyle w:val="TABLECONTENT"/>
              <w:framePr w:hSpace="0" w:wrap="auto" w:vAnchor="margin" w:hAnchor="text" w:xAlign="left" w:yAlign="inline"/>
              <w:suppressOverlap w:val="0"/>
              <w:rPr>
                <w:lang w:val="es-CO"/>
              </w:rPr>
            </w:pPr>
            <w:r w:rsidRPr="00FC3173">
              <w:rPr>
                <w:lang w:val="es-CO"/>
              </w:rPr>
              <w:t>Aquí se encuentran las leyes y mecanismos que permiten reducir la vulnerabilidad social, es decir, se relaciona con la responsabilidad por parte de los entes gubernamentales y no implica una participación directa de la logística.</w:t>
            </w:r>
          </w:p>
        </w:tc>
      </w:tr>
      <w:tr w:rsidR="00FC3173" w:rsidRPr="0029586E" w14:paraId="61238B9C" w14:textId="77777777" w:rsidTr="002735DF">
        <w:trPr>
          <w:trHeight w:val="1150"/>
        </w:trPr>
        <w:tc>
          <w:tcPr>
            <w:tcW w:w="1559" w:type="dxa"/>
            <w:tcBorders>
              <w:top w:val="nil"/>
            </w:tcBorders>
            <w:shd w:val="clear" w:color="auto" w:fill="FFFFFF" w:themeFill="background1"/>
            <w:vAlign w:val="center"/>
          </w:tcPr>
          <w:p w14:paraId="7760645A" w14:textId="77777777" w:rsidR="00FC3173" w:rsidRPr="00FC3173" w:rsidRDefault="00FC3173" w:rsidP="00E728AE">
            <w:pPr>
              <w:pStyle w:val="TABLECONTENT"/>
              <w:framePr w:hSpace="0" w:wrap="auto" w:vAnchor="margin" w:hAnchor="text" w:xAlign="left" w:yAlign="inline"/>
              <w:suppressOverlap w:val="0"/>
              <w:rPr>
                <w:b/>
                <w:bCs/>
                <w:lang w:val="es-CO"/>
              </w:rPr>
            </w:pPr>
            <w:r w:rsidRPr="00FC3173">
              <w:rPr>
                <w:b/>
                <w:bCs/>
                <w:lang w:val="es-CO"/>
              </w:rPr>
              <w:t>Preparación</w:t>
            </w:r>
          </w:p>
        </w:tc>
        <w:tc>
          <w:tcPr>
            <w:tcW w:w="7371" w:type="dxa"/>
            <w:tcBorders>
              <w:top w:val="nil"/>
            </w:tcBorders>
            <w:shd w:val="clear" w:color="auto" w:fill="FFFFFF" w:themeFill="background1"/>
            <w:vAlign w:val="center"/>
          </w:tcPr>
          <w:p w14:paraId="47F6C655" w14:textId="77777777" w:rsidR="00FC3173" w:rsidRPr="00FC3173" w:rsidRDefault="00FC3173" w:rsidP="00E728AE">
            <w:pPr>
              <w:pStyle w:val="TABLECONTENT"/>
              <w:framePr w:hSpace="0" w:wrap="auto" w:vAnchor="margin" w:hAnchor="text" w:xAlign="left" w:yAlign="inline"/>
              <w:suppressOverlap w:val="0"/>
              <w:rPr>
                <w:lang w:val="es-CO"/>
              </w:rPr>
            </w:pPr>
            <w:r w:rsidRPr="00FC3173">
              <w:rPr>
                <w:lang w:val="es-CO"/>
              </w:rPr>
              <w:t>Aquí se agrupan las operaciones realizadas en el periodo previo al desastre, con el objetivo de reducir el impacto de las consecuencias más graves. Se incorpora el diseño de estrategias que permitan una implementación exitosa durante la respuesta operativa y es importante porque durante esta fase se desarrolla: el diseño de la red física, los sistemas de tecnologías e información (TIC) y bases para la colaboración.</w:t>
            </w:r>
          </w:p>
        </w:tc>
      </w:tr>
      <w:tr w:rsidR="00FC3173" w:rsidRPr="0029586E" w14:paraId="2EA365DA" w14:textId="77777777" w:rsidTr="002735DF">
        <w:trPr>
          <w:trHeight w:val="1404"/>
        </w:trPr>
        <w:tc>
          <w:tcPr>
            <w:tcW w:w="1559" w:type="dxa"/>
            <w:shd w:val="clear" w:color="auto" w:fill="FFFFFF" w:themeFill="background1"/>
            <w:vAlign w:val="center"/>
          </w:tcPr>
          <w:p w14:paraId="2BAFCC9F" w14:textId="77777777" w:rsidR="00FC3173" w:rsidRPr="00FC3173" w:rsidRDefault="00FC3173" w:rsidP="00E728AE">
            <w:pPr>
              <w:pStyle w:val="TABLECONTENT"/>
              <w:framePr w:hSpace="0" w:wrap="auto" w:vAnchor="margin" w:hAnchor="text" w:xAlign="left" w:yAlign="inline"/>
              <w:suppressOverlap w:val="0"/>
              <w:rPr>
                <w:b/>
                <w:bCs/>
                <w:lang w:val="es-CO"/>
              </w:rPr>
            </w:pPr>
            <w:r w:rsidRPr="00FC3173">
              <w:rPr>
                <w:b/>
                <w:bCs/>
                <w:lang w:val="es-CO"/>
              </w:rPr>
              <w:t>Respuesta</w:t>
            </w:r>
          </w:p>
        </w:tc>
        <w:tc>
          <w:tcPr>
            <w:tcW w:w="7371" w:type="dxa"/>
            <w:shd w:val="clear" w:color="auto" w:fill="FFFFFF" w:themeFill="background1"/>
            <w:vAlign w:val="center"/>
          </w:tcPr>
          <w:p w14:paraId="1249A749" w14:textId="77777777" w:rsidR="00FC3173" w:rsidRPr="00FC3173" w:rsidRDefault="00FC3173" w:rsidP="00E728AE">
            <w:pPr>
              <w:pStyle w:val="TABLECONTENT"/>
              <w:framePr w:hSpace="0" w:wrap="auto" w:vAnchor="margin" w:hAnchor="text" w:xAlign="left" w:yAlign="inline"/>
              <w:suppressOverlap w:val="0"/>
              <w:rPr>
                <w:lang w:val="es-CO"/>
              </w:rPr>
            </w:pPr>
            <w:r w:rsidRPr="00FC3173">
              <w:rPr>
                <w:lang w:val="es-CO"/>
              </w:rPr>
              <w:t>Hace referencia a las operaciones implementadas inmediatamente después del desastre con el objetivo de activar redes silenciosas o temporales y restablecer en el menor tiempo los servicios básicos y la entrega de bienes al mayor número de beneficiarios posible. En esta etapa, la coordinación y colaboración entre los actores involucrados es vital, donde las conexiones se realizan en la preparación, pero no se activan hasta la ocurrencia del evento.</w:t>
            </w:r>
          </w:p>
        </w:tc>
      </w:tr>
      <w:tr w:rsidR="00FC3173" w:rsidRPr="0029586E" w14:paraId="532D8C6C" w14:textId="77777777" w:rsidTr="002735DF">
        <w:trPr>
          <w:trHeight w:val="701"/>
        </w:trPr>
        <w:tc>
          <w:tcPr>
            <w:tcW w:w="1559" w:type="dxa"/>
            <w:shd w:val="clear" w:color="auto" w:fill="FFFFFF" w:themeFill="background1"/>
            <w:vAlign w:val="center"/>
          </w:tcPr>
          <w:p w14:paraId="4D8716DD" w14:textId="77777777" w:rsidR="00FC3173" w:rsidRPr="00FC3173" w:rsidRDefault="00FC3173" w:rsidP="00E728AE">
            <w:pPr>
              <w:pStyle w:val="TABLECONTENT"/>
              <w:framePr w:hSpace="0" w:wrap="auto" w:vAnchor="margin" w:hAnchor="text" w:xAlign="left" w:yAlign="inline"/>
              <w:suppressOverlap w:val="0"/>
              <w:rPr>
                <w:b/>
                <w:bCs/>
                <w:lang w:val="es-CO"/>
              </w:rPr>
            </w:pPr>
            <w:r w:rsidRPr="00FC3173">
              <w:rPr>
                <w:b/>
                <w:bCs/>
                <w:lang w:val="es-CO"/>
              </w:rPr>
              <w:t>Reconstrucción</w:t>
            </w:r>
          </w:p>
        </w:tc>
        <w:tc>
          <w:tcPr>
            <w:tcW w:w="7371" w:type="dxa"/>
            <w:shd w:val="clear" w:color="auto" w:fill="FFFFFF" w:themeFill="background1"/>
            <w:vAlign w:val="center"/>
          </w:tcPr>
          <w:p w14:paraId="5284FEBD" w14:textId="3DC59376" w:rsidR="00FC3173" w:rsidRPr="00FC3173" w:rsidRDefault="00132AF1" w:rsidP="00E728AE">
            <w:pPr>
              <w:pStyle w:val="TABLECONTENT"/>
              <w:framePr w:hSpace="0" w:wrap="auto" w:vAnchor="margin" w:hAnchor="text" w:xAlign="left" w:yAlign="inline"/>
              <w:suppressOverlap w:val="0"/>
              <w:rPr>
                <w:lang w:val="es-CO"/>
              </w:rPr>
            </w:pPr>
            <w:r>
              <w:rPr>
                <w:lang w:val="es-CO"/>
              </w:rPr>
              <w:t>S</w:t>
            </w:r>
            <w:r w:rsidR="00FC3173" w:rsidRPr="00FC3173">
              <w:rPr>
                <w:lang w:val="es-CO"/>
              </w:rPr>
              <w:t>e encuentran las operaciones realizadas posteriores a un desastre con el objetivo de abordar el problema en el largo plazo, dado que los efectos del desastre persisten durante un largo periodo en las poblaciones afectadas.</w:t>
            </w:r>
          </w:p>
        </w:tc>
      </w:tr>
    </w:tbl>
    <w:p w14:paraId="0D4A7540" w14:textId="1C13E41C" w:rsidR="00FC3173" w:rsidRPr="00F427BC" w:rsidRDefault="00F427BC" w:rsidP="00F427BC">
      <w:pPr>
        <w:pStyle w:val="BODY0"/>
        <w:rPr>
          <w:i/>
          <w:iCs/>
        </w:rPr>
      </w:pPr>
      <w:r w:rsidRPr="00C01705">
        <w:rPr>
          <w:i/>
          <w:iCs/>
        </w:rPr>
        <w:t xml:space="preserve">Nota. </w:t>
      </w:r>
      <w:r w:rsidRPr="00C01705">
        <w:t>Adaptado de Cozzolino (2012).</w:t>
      </w:r>
    </w:p>
    <w:p w14:paraId="47F682A9" w14:textId="54C91A7F" w:rsidR="00D93B0F" w:rsidRDefault="00D93B0F" w:rsidP="00470245">
      <w:pPr>
        <w:pStyle w:val="BODY0"/>
        <w:ind w:right="824"/>
      </w:pPr>
      <w:r>
        <w:t xml:space="preserve">Aunque el alcance del presente </w:t>
      </w:r>
      <w:r w:rsidR="006F2D8E">
        <w:t>estudio</w:t>
      </w:r>
      <w:r>
        <w:t xml:space="preserve"> se enfoca exclusivamente en la localización de centros médicos temporales, dentro de los artículos revisados se encuentran enfoques asociados con decisiones complementarias como la asignación de rutas, planificación de personal o múltiples niveles logísticos. Por último, en cuanto a la validación, 20 de los 21 artículos analizados incluyen algún tipo de estudio de caso, lo que evidencia el interés de evaluar los modelos en escenarios basados en contextos reales en zonas altamente expuestas a desastres sísmicos, con alta densidad urbana y condiciones logísticas complejas.</w:t>
      </w:r>
    </w:p>
    <w:p w14:paraId="208F8A4E" w14:textId="49557F01" w:rsidR="00D93B0F" w:rsidRDefault="00470245" w:rsidP="00470245">
      <w:pPr>
        <w:pStyle w:val="HEADING2"/>
      </w:pPr>
      <w:r w:rsidRPr="00F03179">
        <w:t>2.2|</w:t>
      </w:r>
      <w:r w:rsidR="00D93B0F">
        <w:t>Resultados relevantes</w:t>
      </w:r>
    </w:p>
    <w:p w14:paraId="1488491F" w14:textId="043C8E10" w:rsidR="00D93B0F" w:rsidRDefault="00D93B0F" w:rsidP="00B47F20">
      <w:pPr>
        <w:pStyle w:val="BODY0"/>
        <w:ind w:right="824"/>
      </w:pPr>
      <w:r>
        <w:t xml:space="preserve">Los resultados evidenciados en la literatura, aparte de comprobar la funcionalidad de los modelos que se presentan en cada caso, también permiten identificar criterios importantes a considerar con el fin de fortalecer el diseño y la validación de esquemas relacionados con la localización de CMT ante escenarios de eventos sísmicos que generan incertidumbre. Un resultado destacable es presentado por Oksuz &amp; Satoglu (2024), quienes demuestran como el hecho de clasificar las víctimas puede mejorar el desempeño de cobertura y variar el número de CMT requeridos. Otro aspecto importante para considerar es que la toma de decisiones de localización no solo se realiza considerando los puntos más cercanos, sino que en lo posible se debe considerar la integración dentro de la red logística, añadiendo criterios de incertidumbre sobre posibles daños estructurales y la proporción de víctimas que pueden ser atendidas desde los diferentes puntos de demanda (Kadosh et al., 2023; Yi &amp; Özdamar, 2007). Lo que indica que en contextos como el </w:t>
      </w:r>
      <w:r w:rsidR="006F2D8E">
        <w:t>d</w:t>
      </w:r>
      <w:r w:rsidR="006F5CB8">
        <w:t>e</w:t>
      </w:r>
      <w:r w:rsidR="006F2D8E">
        <w:t xml:space="preserve"> este estudio </w:t>
      </w:r>
      <w:r>
        <w:t>en Bucaramanga es muy importante conocer la distribución geográfica de las víctimas de acuerdo con las zonas más vulnerables.</w:t>
      </w:r>
    </w:p>
    <w:p w14:paraId="385542DB" w14:textId="52E612CD" w:rsidR="00D93B0F" w:rsidRDefault="00B47F20" w:rsidP="00B47F20">
      <w:pPr>
        <w:pStyle w:val="HEADING2"/>
      </w:pPr>
      <w:r w:rsidRPr="00B47F20">
        <w:lastRenderedPageBreak/>
        <w:t>2.</w:t>
      </w:r>
      <w:r>
        <w:t>3</w:t>
      </w:r>
      <w:r w:rsidRPr="00B47F20">
        <w:t>|</w:t>
      </w:r>
      <w:r w:rsidR="00D93B0F" w:rsidRPr="00B47F20">
        <w:t>Tendencias y vacíos de investigación</w:t>
      </w:r>
    </w:p>
    <w:p w14:paraId="61003286" w14:textId="0472564E" w:rsidR="00BD053A" w:rsidRPr="005048A3" w:rsidRDefault="00D93B0F" w:rsidP="00D93B0F">
      <w:pPr>
        <w:pStyle w:val="BODY0"/>
        <w:ind w:right="824"/>
      </w:pPr>
      <w:r>
        <w:t>Además de las soluciones propuestas al problema de localización, los artículos presentan limitaciones en sus modelos y se señalan posibles rutas de investigaciones futuras, lo que permite identificar desafíos relacionados con la preparación y respuesta ante eventos sísmicos. A lo largo de la revisión, gran parte de los artículos exponen la necesidad de avanzar hacia modelos dinámicos, de varias etapas y que sean flexibles para el contexto de desastre. Trivedi &amp; Singh (2017) proponen que, para hacerle frente a la incertidumbre inherente al evento, se deberían formular modelos dinámicos y técnicas de optimización estocástica, mientras que Sun et al. (2022) plantean la necesidad de tomar en cuenta los daños en la infraestructura vial y desarrollar métodos heurísticos o exactos que solucionen esta consideración. Otros autores reconocen como una limitación el uso de datos simulados y no datos reales, además de las exclusiones de variables del entorno estudiado. En este contexto, Garrido et al. (2022) proponen como futura línea de investigación incluir un análisis que permita tomar decisiones en varios momentos del desastre, además de restricciones reales del entorno, como daños estructurales. Al revisar las líneas de investigación futura propuestas por los autores, se evidencia que coinciden con los resultados de estudios de revisión de literatura, que destacan la integración de datos en tiempo real mediante herramientas GIS, la incorporación de criterios sociales, éticos y políticos en los modelos (Carnero Quispe et al., 2025) y la articulación de decisiones estratégicas, tácticas y operativas en un solo marco, con un mejor manejo de la incertidumbre a través de modelos estocásticos o difusos (Ahmadi-Javid et al., 2017). En cuanto al uso de técnicas de clusterización a pesar de su utilidad para agrupar puntos de demandas, se presenta una implementación limitada en la revisión realizada ya que solo Mazloum et al. (2024) aplicaron clustering retrospectivo como herramienta auxiliar. Por lo que, el enfoque propuesto en est</w:t>
      </w:r>
      <w:r w:rsidR="006B4979">
        <w:t>a investigación</w:t>
      </w:r>
      <w:r>
        <w:t xml:space="preserve"> representa un aporte en este campo de estudio</w:t>
      </w:r>
      <w:r w:rsidR="00917C62">
        <w:t>.</w:t>
      </w:r>
    </w:p>
    <w:p w14:paraId="0E555A44" w14:textId="11C38B1B" w:rsidR="00BD053A" w:rsidRPr="00BD053A" w:rsidRDefault="00BD053A" w:rsidP="00BD053A">
      <w:pPr>
        <w:pStyle w:val="HEADING10"/>
      </w:pPr>
      <w:r>
        <w:t>3</w:t>
      </w:r>
      <w:r w:rsidRPr="00BD053A">
        <w:t>|Metodolog</w:t>
      </w:r>
      <w:r>
        <w:t>ía</w:t>
      </w:r>
      <w:r w:rsidRPr="00BD053A">
        <w:tab/>
      </w:r>
      <w:r w:rsidRPr="00BD053A">
        <w:tab/>
      </w:r>
      <w:r w:rsidRPr="00BD053A">
        <w:tab/>
      </w:r>
    </w:p>
    <w:p w14:paraId="4BD7A6C9" w14:textId="77777777" w:rsidR="007E6F10" w:rsidRDefault="00DE4415" w:rsidP="00DE4415">
      <w:pPr>
        <w:pStyle w:val="BODY0"/>
        <w:ind w:right="824"/>
      </w:pPr>
      <w:r w:rsidRPr="00DE4415">
        <w:t xml:space="preserve">El flujo presentado </w:t>
      </w:r>
      <w:r w:rsidR="0005290C">
        <w:t>(</w:t>
      </w:r>
      <w:r w:rsidR="0005290C" w:rsidRPr="00962CB4">
        <w:t xml:space="preserve">ver </w:t>
      </w:r>
      <w:r w:rsidRPr="00DE4415">
        <w:t>Fig</w:t>
      </w:r>
      <w:r w:rsidR="0005290C">
        <w:t>. 1)</w:t>
      </w:r>
      <w:r w:rsidRPr="00DE4415">
        <w:t xml:space="preserve"> se define a partir de las siguientes consideraciones: </w:t>
      </w:r>
    </w:p>
    <w:p w14:paraId="79C371B3" w14:textId="46E97FEC" w:rsidR="007E6F10" w:rsidRDefault="0005290C" w:rsidP="00DE4415">
      <w:pPr>
        <w:pStyle w:val="BODY0"/>
        <w:ind w:right="824"/>
      </w:pPr>
      <w:r>
        <w:t xml:space="preserve">(i) </w:t>
      </w:r>
      <w:r w:rsidR="00DE4415" w:rsidRPr="00DE4415">
        <w:t>Definición de la unidad de análisis. Se toman como base los barrios urbanos de Bucaramanga</w:t>
      </w:r>
      <w:r w:rsidR="001F26BE">
        <w:t>.</w:t>
      </w:r>
    </w:p>
    <w:p w14:paraId="7732F0B0" w14:textId="77777777" w:rsidR="001F26BE" w:rsidRDefault="00D74156" w:rsidP="00DE4415">
      <w:pPr>
        <w:pStyle w:val="BODY0"/>
        <w:ind w:right="824"/>
      </w:pPr>
      <w:r>
        <w:t>(ii)</w:t>
      </w:r>
      <w:r w:rsidRPr="00DE4415">
        <w:t xml:space="preserve"> </w:t>
      </w:r>
      <w:r w:rsidR="00DE4415" w:rsidRPr="00DE4415">
        <w:t>Representación espacial</w:t>
      </w:r>
      <w:r w:rsidR="001D502C">
        <w:t>,</w:t>
      </w:r>
      <w:r>
        <w:t xml:space="preserve"> c</w:t>
      </w:r>
      <w:r w:rsidR="00DE4415" w:rsidRPr="00DE4415">
        <w:t xml:space="preserve">ada barrio se representa mediante su centroide geográfico (xi,yi) como una aproximación puntual de su localización. </w:t>
      </w:r>
    </w:p>
    <w:p w14:paraId="108E96A9" w14:textId="5A2DCA7F" w:rsidR="00DE4415" w:rsidRDefault="001F26BE" w:rsidP="001F26BE">
      <w:pPr>
        <w:pStyle w:val="BODY0"/>
        <w:ind w:right="824"/>
      </w:pPr>
      <w:r>
        <w:t>(iii)</w:t>
      </w:r>
      <w:r w:rsidRPr="00DE4415">
        <w:t xml:space="preserve"> </w:t>
      </w:r>
      <w:r w:rsidR="00DE4415" w:rsidRPr="00DE4415">
        <w:t>Capacidad de los centros médicos temporales (CM</w:t>
      </w:r>
      <w:r w:rsidR="001D502C">
        <w:t xml:space="preserve">T) </w:t>
      </w:r>
      <w:r>
        <w:t>.</w:t>
      </w:r>
      <w:r w:rsidR="00DE4415" w:rsidRPr="00DE4415">
        <w:t>No se define una capacidad explícita, por lo que el enfoque se centra en clasificar si un barrio se encuentra dentro del radio de cobertura; por lo tanto, cada instalación se considera diseñada para atender la demanda potencial que se le asigne.</w:t>
      </w:r>
    </w:p>
    <w:p w14:paraId="475A7D72" w14:textId="758B60CB" w:rsidR="003818CE" w:rsidRDefault="003818CE" w:rsidP="001959F8">
      <w:pPr>
        <w:pStyle w:val="BODY0"/>
        <w:spacing w:after="0"/>
        <w:ind w:right="824"/>
        <w:jc w:val="center"/>
      </w:pPr>
      <w:r w:rsidRPr="003020BD">
        <w:rPr>
          <w:noProof/>
        </w:rPr>
        <w:drawing>
          <wp:inline distT="0" distB="0" distL="0" distR="0" wp14:anchorId="7F0D388A" wp14:editId="40E81346">
            <wp:extent cx="4176395" cy="2857440"/>
            <wp:effectExtent l="0" t="0" r="0" b="635"/>
            <wp:docPr id="1634038723"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038723" name="Imagen 1" descr="Diagrama&#10;&#10;El contenido generado por IA puede ser incorrecto."/>
                    <pic:cNvPicPr/>
                  </pic:nvPicPr>
                  <pic:blipFill>
                    <a:blip r:embed="rId9"/>
                    <a:stretch>
                      <a:fillRect/>
                    </a:stretch>
                  </pic:blipFill>
                  <pic:spPr>
                    <a:xfrm>
                      <a:off x="0" y="0"/>
                      <a:ext cx="4340320" cy="2969596"/>
                    </a:xfrm>
                    <a:prstGeom prst="rect">
                      <a:avLst/>
                    </a:prstGeom>
                  </pic:spPr>
                </pic:pic>
              </a:graphicData>
            </a:graphic>
          </wp:inline>
        </w:drawing>
      </w:r>
    </w:p>
    <w:p w14:paraId="56DEA904" w14:textId="69A68F63" w:rsidR="003818CE" w:rsidRPr="006440BA" w:rsidRDefault="003818CE" w:rsidP="001959F8">
      <w:pPr>
        <w:pStyle w:val="Figure"/>
        <w:spacing w:after="0"/>
      </w:pPr>
      <w:r w:rsidRPr="00F03179">
        <w:t xml:space="preserve">Fig. 1. </w:t>
      </w:r>
      <w:r w:rsidR="006440BA" w:rsidRPr="006440BA">
        <w:t>Flujo general del modelo.</w:t>
      </w:r>
    </w:p>
    <w:p w14:paraId="10FD0CBF" w14:textId="77777777" w:rsidR="003818CE" w:rsidRPr="006440BA" w:rsidRDefault="003818CE" w:rsidP="003818CE">
      <w:pPr>
        <w:pStyle w:val="BODY0"/>
        <w:ind w:right="824"/>
      </w:pPr>
    </w:p>
    <w:p w14:paraId="4BB6AF22" w14:textId="076B9087" w:rsidR="00DE4415" w:rsidRPr="00DE4415" w:rsidRDefault="00DE4415" w:rsidP="00DE4415">
      <w:pPr>
        <w:pStyle w:val="HEADING2"/>
      </w:pPr>
      <w:r w:rsidRPr="00DE4415">
        <w:lastRenderedPageBreak/>
        <w:t>3.1|Fase de clusterización</w:t>
      </w:r>
    </w:p>
    <w:p w14:paraId="7D74EFF7" w14:textId="77777777" w:rsidR="00817BE7" w:rsidRDefault="005D129B" w:rsidP="00DE4415">
      <w:pPr>
        <w:pStyle w:val="BODY0"/>
        <w:ind w:right="824"/>
      </w:pPr>
      <w:r w:rsidRPr="005D129B">
        <w:t>En esta primera fase, el modelo tiene como objetivo segmentar los barrios en grupos que compartan características espaciales y presenten una caracterización similar frente a la vulnerabilidad sísmica. Dado que esta caracterización integra componentes estructurales, sociales y económicos, se determinó la información disponible para seleccionar medidas que representaran dichas dimensiones, considerando lo reportado en la literatura y en fuentes gubernamentales para los barrios de Bucaramang</w:t>
      </w:r>
      <w:r>
        <w:t xml:space="preserve">a (ver </w:t>
      </w:r>
      <w:r w:rsidR="00DE4415" w:rsidRPr="00DE4415">
        <w:t>Tabla</w:t>
      </w:r>
      <w:r>
        <w:t>.</w:t>
      </w:r>
      <w:r w:rsidR="00DE4415" w:rsidRPr="00DE4415">
        <w:t xml:space="preserve"> </w:t>
      </w:r>
      <w:r>
        <w:t>3)</w:t>
      </w:r>
      <w:r w:rsidR="00817BE7">
        <w:t>.</w:t>
      </w:r>
    </w:p>
    <w:p w14:paraId="6324156A" w14:textId="11779A1E" w:rsidR="00E728AE" w:rsidRDefault="00E728AE" w:rsidP="00E728AE">
      <w:pPr>
        <w:pStyle w:val="Figure"/>
        <w:spacing w:after="0"/>
      </w:pPr>
      <w:r w:rsidRPr="00FC3173">
        <w:t>Tabl</w:t>
      </w:r>
      <w:r w:rsidR="00C63510">
        <w:t>a</w:t>
      </w:r>
      <w:r w:rsidRPr="00FC3173">
        <w:t xml:space="preserve"> </w:t>
      </w:r>
      <w:r>
        <w:t>3</w:t>
      </w:r>
      <w:r w:rsidRPr="00FC3173">
        <w:t xml:space="preserve">. </w:t>
      </w:r>
      <w:r w:rsidR="007906B5" w:rsidRPr="007906B5">
        <w:t>Resumen de las variables de entrada.</w:t>
      </w:r>
    </w:p>
    <w:tbl>
      <w:tblPr>
        <w:tblW w:w="8789" w:type="dxa"/>
        <w:tblInd w:w="709" w:type="dxa"/>
        <w:tblBorders>
          <w:top w:val="single" w:sz="4" w:space="0" w:color="auto"/>
          <w:bottom w:val="single" w:sz="4" w:space="0" w:color="auto"/>
        </w:tblBorders>
        <w:tblLayout w:type="fixed"/>
        <w:tblCellMar>
          <w:left w:w="28" w:type="dxa"/>
          <w:right w:w="28" w:type="dxa"/>
        </w:tblCellMar>
        <w:tblLook w:val="04A0" w:firstRow="1" w:lastRow="0" w:firstColumn="1" w:lastColumn="0" w:noHBand="0" w:noVBand="1"/>
      </w:tblPr>
      <w:tblGrid>
        <w:gridCol w:w="1559"/>
        <w:gridCol w:w="1134"/>
        <w:gridCol w:w="4678"/>
        <w:gridCol w:w="1418"/>
      </w:tblGrid>
      <w:tr w:rsidR="004D09EE" w14:paraId="18DA1573" w14:textId="77777777" w:rsidTr="00497090">
        <w:trPr>
          <w:trHeight w:val="113"/>
        </w:trPr>
        <w:tc>
          <w:tcPr>
            <w:tcW w:w="1559" w:type="dxa"/>
            <w:tcBorders>
              <w:bottom w:val="single" w:sz="4" w:space="0" w:color="auto"/>
            </w:tcBorders>
            <w:vAlign w:val="center"/>
            <w:hideMark/>
          </w:tcPr>
          <w:p w14:paraId="35DA27A1" w14:textId="77777777"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Variable de entrada</w:t>
            </w:r>
          </w:p>
        </w:tc>
        <w:tc>
          <w:tcPr>
            <w:tcW w:w="1134" w:type="dxa"/>
            <w:tcBorders>
              <w:bottom w:val="single" w:sz="4" w:space="0" w:color="auto"/>
            </w:tcBorders>
            <w:vAlign w:val="center"/>
            <w:hideMark/>
          </w:tcPr>
          <w:p w14:paraId="0D2F2AF3" w14:textId="77777777"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Dimensión</w:t>
            </w:r>
          </w:p>
        </w:tc>
        <w:tc>
          <w:tcPr>
            <w:tcW w:w="4678" w:type="dxa"/>
            <w:tcBorders>
              <w:bottom w:val="single" w:sz="4" w:space="0" w:color="auto"/>
            </w:tcBorders>
            <w:vAlign w:val="center"/>
            <w:hideMark/>
          </w:tcPr>
          <w:p w14:paraId="658F6F7C" w14:textId="77777777"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Descripción</w:t>
            </w:r>
          </w:p>
        </w:tc>
        <w:tc>
          <w:tcPr>
            <w:tcW w:w="1418" w:type="dxa"/>
            <w:tcBorders>
              <w:bottom w:val="single" w:sz="4" w:space="0" w:color="auto"/>
            </w:tcBorders>
            <w:vAlign w:val="center"/>
            <w:hideMark/>
          </w:tcPr>
          <w:p w14:paraId="4AB4E5A0" w14:textId="77777777"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Tipo de variable</w:t>
            </w:r>
          </w:p>
        </w:tc>
      </w:tr>
      <w:tr w:rsidR="004D09EE" w14:paraId="4B54AD3D" w14:textId="77777777" w:rsidTr="00497090">
        <w:trPr>
          <w:trHeight w:val="113"/>
        </w:trPr>
        <w:tc>
          <w:tcPr>
            <w:tcW w:w="1559" w:type="dxa"/>
            <w:vAlign w:val="center"/>
            <w:hideMark/>
          </w:tcPr>
          <w:p w14:paraId="0175ACF4" w14:textId="0B797ABF"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 xml:space="preserve">Latitud del centroide </w:t>
            </w:r>
            <m:oMath>
              <m:sSub>
                <m:sSubPr>
                  <m:ctrlPr>
                    <w:rPr>
                      <w:rFonts w:ascii="Cambria Math" w:hAnsi="Cambria Math"/>
                      <w:b/>
                      <w:bCs/>
                      <w:lang w:val="es-CO"/>
                    </w:rPr>
                  </m:ctrlPr>
                </m:sSubPr>
                <m:e>
                  <m:r>
                    <m:rPr>
                      <m:sty m:val="b"/>
                    </m:rPr>
                    <w:rPr>
                      <w:rFonts w:ascii="Cambria Math" w:hAnsi="Cambria Math"/>
                      <w:lang w:val="es-CO"/>
                    </w:rPr>
                    <m:t>(</m:t>
                  </m:r>
                  <m:r>
                    <m:rPr>
                      <m:sty m:val="bi"/>
                    </m:rPr>
                    <w:rPr>
                      <w:rFonts w:ascii="Cambria Math" w:hAnsi="Cambria Math"/>
                      <w:lang w:val="es-CO"/>
                    </w:rPr>
                    <m:t>y</m:t>
                  </m:r>
                </m:e>
                <m:sub>
                  <m:r>
                    <m:rPr>
                      <m:sty m:val="bi"/>
                    </m:rPr>
                    <w:rPr>
                      <w:rFonts w:ascii="Cambria Math" w:hAnsi="Cambria Math"/>
                      <w:lang w:val="es-CO"/>
                    </w:rPr>
                    <m:t>i</m:t>
                  </m:r>
                </m:sub>
              </m:sSub>
              <m:r>
                <m:rPr>
                  <m:sty m:val="b"/>
                </m:rPr>
                <w:rPr>
                  <w:rFonts w:ascii="Cambria Math" w:hAnsi="Cambria Math"/>
                  <w:lang w:val="es-CO"/>
                </w:rPr>
                <m:t>)</m:t>
              </m:r>
            </m:oMath>
            <w:r w:rsidRPr="004D09EE">
              <w:rPr>
                <w:b/>
                <w:bCs/>
                <w:lang w:val="es-CO"/>
              </w:rPr>
              <w:t xml:space="preserve">   Longitud del centroide </w:t>
            </w:r>
            <m:oMath>
              <m:sSub>
                <m:sSubPr>
                  <m:ctrlPr>
                    <w:rPr>
                      <w:rFonts w:ascii="Cambria Math" w:hAnsi="Cambria Math"/>
                      <w:b/>
                      <w:bCs/>
                      <w:lang w:val="es-CO"/>
                    </w:rPr>
                  </m:ctrlPr>
                </m:sSubPr>
                <m:e>
                  <m:r>
                    <m:rPr>
                      <m:sty m:val="b"/>
                    </m:rPr>
                    <w:rPr>
                      <w:rFonts w:ascii="Cambria Math" w:hAnsi="Cambria Math"/>
                      <w:lang w:val="es-CO"/>
                    </w:rPr>
                    <m:t>(</m:t>
                  </m:r>
                  <m:r>
                    <m:rPr>
                      <m:sty m:val="bi"/>
                    </m:rPr>
                    <w:rPr>
                      <w:rFonts w:ascii="Cambria Math" w:hAnsi="Cambria Math"/>
                      <w:lang w:val="es-CO"/>
                    </w:rPr>
                    <m:t>x</m:t>
                  </m:r>
                </m:e>
                <m:sub>
                  <m:r>
                    <m:rPr>
                      <m:sty m:val="bi"/>
                    </m:rPr>
                    <w:rPr>
                      <w:rFonts w:ascii="Cambria Math" w:hAnsi="Cambria Math"/>
                      <w:lang w:val="es-CO"/>
                    </w:rPr>
                    <m:t>i</m:t>
                  </m:r>
                </m:sub>
              </m:sSub>
              <m:r>
                <m:rPr>
                  <m:sty m:val="b"/>
                </m:rPr>
                <w:rPr>
                  <w:rFonts w:ascii="Cambria Math" w:hAnsi="Cambria Math"/>
                  <w:lang w:val="es-CO"/>
                </w:rPr>
                <m:t>)</m:t>
              </m:r>
            </m:oMath>
          </w:p>
        </w:tc>
        <w:tc>
          <w:tcPr>
            <w:tcW w:w="1134" w:type="dxa"/>
            <w:vAlign w:val="center"/>
            <w:hideMark/>
          </w:tcPr>
          <w:p w14:paraId="1A78CDC2"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Espacial</w:t>
            </w:r>
          </w:p>
        </w:tc>
        <w:tc>
          <w:tcPr>
            <w:tcW w:w="4678" w:type="dxa"/>
            <w:vAlign w:val="center"/>
            <w:hideMark/>
          </w:tcPr>
          <w:p w14:paraId="277A3909"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Coordenadas geográficas del centroide del barrio, usadas para calcular distancias y asegurar coherencia geográfica en la conformación de clústeres.</w:t>
            </w:r>
          </w:p>
        </w:tc>
        <w:tc>
          <w:tcPr>
            <w:tcW w:w="1418" w:type="dxa"/>
            <w:vAlign w:val="center"/>
            <w:hideMark/>
          </w:tcPr>
          <w:p w14:paraId="16EADE09"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Cuantitativa Continua</w:t>
            </w:r>
            <w:r w:rsidRPr="004D09EE">
              <w:rPr>
                <w:lang w:val="es-CO"/>
              </w:rPr>
              <w:br/>
              <w:t>(Espacial)</w:t>
            </w:r>
          </w:p>
        </w:tc>
      </w:tr>
      <w:tr w:rsidR="004D09EE" w14:paraId="4328862D" w14:textId="77777777" w:rsidTr="00497090">
        <w:trPr>
          <w:trHeight w:val="113"/>
        </w:trPr>
        <w:tc>
          <w:tcPr>
            <w:tcW w:w="1559" w:type="dxa"/>
            <w:vAlign w:val="center"/>
            <w:hideMark/>
          </w:tcPr>
          <w:p w14:paraId="0A86D491" w14:textId="08B19D4F"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 xml:space="preserve">Población </w:t>
            </w:r>
            <m:oMath>
              <m:sSub>
                <m:sSubPr>
                  <m:ctrlPr>
                    <w:rPr>
                      <w:rFonts w:ascii="Cambria Math" w:hAnsi="Cambria Math"/>
                      <w:b/>
                      <w:bCs/>
                      <w:lang w:val="es-CO"/>
                    </w:rPr>
                  </m:ctrlPr>
                </m:sSubPr>
                <m:e>
                  <m:r>
                    <m:rPr>
                      <m:sty m:val="b"/>
                    </m:rPr>
                    <w:rPr>
                      <w:rFonts w:ascii="Cambria Math" w:hAnsi="Cambria Math"/>
                      <w:lang w:val="es-CO"/>
                    </w:rPr>
                    <m:t>(</m:t>
                  </m:r>
                  <m:r>
                    <m:rPr>
                      <m:sty m:val="bi"/>
                    </m:rPr>
                    <w:rPr>
                      <w:rFonts w:ascii="Cambria Math" w:hAnsi="Cambria Math"/>
                      <w:lang w:val="es-CO"/>
                    </w:rPr>
                    <m:t>P</m:t>
                  </m:r>
                </m:e>
                <m:sub>
                  <m:r>
                    <m:rPr>
                      <m:sty m:val="bi"/>
                    </m:rPr>
                    <w:rPr>
                      <w:rFonts w:ascii="Cambria Math" w:hAnsi="Cambria Math"/>
                      <w:lang w:val="es-CO"/>
                    </w:rPr>
                    <m:t>i</m:t>
                  </m:r>
                </m:sub>
              </m:sSub>
              <m:r>
                <m:rPr>
                  <m:sty m:val="b"/>
                </m:rPr>
                <w:rPr>
                  <w:rFonts w:ascii="Cambria Math" w:hAnsi="Cambria Math"/>
                  <w:lang w:val="es-CO"/>
                </w:rPr>
                <m:t>)</m:t>
              </m:r>
            </m:oMath>
          </w:p>
        </w:tc>
        <w:tc>
          <w:tcPr>
            <w:tcW w:w="1134" w:type="dxa"/>
            <w:vAlign w:val="center"/>
            <w:hideMark/>
          </w:tcPr>
          <w:p w14:paraId="719580E9"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Demográfica</w:t>
            </w:r>
          </w:p>
        </w:tc>
        <w:tc>
          <w:tcPr>
            <w:tcW w:w="4678" w:type="dxa"/>
            <w:vAlign w:val="center"/>
            <w:hideMark/>
          </w:tcPr>
          <w:p w14:paraId="0F7F5A5E"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Total de habitantes del barrio, utilizada para diferenciar el potencial de demanda entre zonas.</w:t>
            </w:r>
          </w:p>
        </w:tc>
        <w:tc>
          <w:tcPr>
            <w:tcW w:w="1418" w:type="dxa"/>
            <w:vAlign w:val="center"/>
            <w:hideMark/>
          </w:tcPr>
          <w:p w14:paraId="23BA7508"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Cuantitativa discreta</w:t>
            </w:r>
          </w:p>
        </w:tc>
      </w:tr>
      <w:tr w:rsidR="004D09EE" w14:paraId="187BED27" w14:textId="77777777" w:rsidTr="00497090">
        <w:trPr>
          <w:trHeight w:val="113"/>
        </w:trPr>
        <w:tc>
          <w:tcPr>
            <w:tcW w:w="1559" w:type="dxa"/>
            <w:tcBorders>
              <w:bottom w:val="nil"/>
            </w:tcBorders>
            <w:vAlign w:val="center"/>
            <w:hideMark/>
          </w:tcPr>
          <w:p w14:paraId="04B05720" w14:textId="63A6C6CB"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 xml:space="preserve">Estrato socioeconómico </w:t>
            </w:r>
            <m:oMath>
              <m:sSub>
                <m:sSubPr>
                  <m:ctrlPr>
                    <w:rPr>
                      <w:rFonts w:ascii="Cambria Math" w:hAnsi="Cambria Math"/>
                      <w:b/>
                      <w:bCs/>
                      <w:lang w:val="es-CO"/>
                    </w:rPr>
                  </m:ctrlPr>
                </m:sSubPr>
                <m:e>
                  <m:r>
                    <m:rPr>
                      <m:sty m:val="b"/>
                    </m:rPr>
                    <w:rPr>
                      <w:rFonts w:ascii="Cambria Math" w:hAnsi="Cambria Math"/>
                      <w:lang w:val="es-CO"/>
                    </w:rPr>
                    <m:t>(</m:t>
                  </m:r>
                  <m:r>
                    <m:rPr>
                      <m:sty m:val="bi"/>
                    </m:rPr>
                    <w:rPr>
                      <w:rFonts w:ascii="Cambria Math" w:hAnsi="Cambria Math"/>
                      <w:lang w:val="es-CO"/>
                    </w:rPr>
                    <m:t>E</m:t>
                  </m:r>
                </m:e>
                <m:sub>
                  <m:r>
                    <m:rPr>
                      <m:sty m:val="bi"/>
                    </m:rPr>
                    <w:rPr>
                      <w:rFonts w:ascii="Cambria Math" w:hAnsi="Cambria Math"/>
                      <w:lang w:val="es-CO"/>
                    </w:rPr>
                    <m:t>i</m:t>
                  </m:r>
                </m:sub>
              </m:sSub>
              <m:r>
                <m:rPr>
                  <m:sty m:val="b"/>
                </m:rPr>
                <w:rPr>
                  <w:rFonts w:ascii="Cambria Math" w:hAnsi="Cambria Math"/>
                  <w:lang w:val="es-CO"/>
                </w:rPr>
                <m:t>)</m:t>
              </m:r>
            </m:oMath>
          </w:p>
        </w:tc>
        <w:tc>
          <w:tcPr>
            <w:tcW w:w="1134" w:type="dxa"/>
            <w:tcBorders>
              <w:bottom w:val="nil"/>
            </w:tcBorders>
            <w:vAlign w:val="center"/>
            <w:hideMark/>
          </w:tcPr>
          <w:p w14:paraId="7C0B13E1"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Socio-económica (económica–</w:t>
            </w:r>
            <w:r w:rsidRPr="004D09EE">
              <w:rPr>
                <w:lang w:val="es-CO"/>
              </w:rPr>
              <w:br/>
              <w:t>social)</w:t>
            </w:r>
          </w:p>
        </w:tc>
        <w:tc>
          <w:tcPr>
            <w:tcW w:w="4678" w:type="dxa"/>
            <w:tcBorders>
              <w:bottom w:val="nil"/>
            </w:tcBorders>
            <w:vAlign w:val="center"/>
            <w:hideMark/>
          </w:tcPr>
          <w:p w14:paraId="500693DA"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Clasificación de viviendas por estratos 1 a 6 definida por el DANE (Departamento Administrativo Nacional de Estadística [DANE], s. f.), útil para caracterizar diferencias de vulnerabilidad socioeconómica.</w:t>
            </w:r>
          </w:p>
        </w:tc>
        <w:tc>
          <w:tcPr>
            <w:tcW w:w="1418" w:type="dxa"/>
            <w:tcBorders>
              <w:bottom w:val="nil"/>
            </w:tcBorders>
            <w:vAlign w:val="center"/>
            <w:hideMark/>
          </w:tcPr>
          <w:p w14:paraId="2762E871"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Cualitativa Ordinal</w:t>
            </w:r>
          </w:p>
        </w:tc>
      </w:tr>
      <w:tr w:rsidR="004D09EE" w14:paraId="0AE0670C" w14:textId="77777777" w:rsidTr="00497090">
        <w:trPr>
          <w:trHeight w:val="113"/>
        </w:trPr>
        <w:tc>
          <w:tcPr>
            <w:tcW w:w="1559" w:type="dxa"/>
            <w:tcBorders>
              <w:top w:val="nil"/>
            </w:tcBorders>
            <w:vAlign w:val="center"/>
            <w:hideMark/>
          </w:tcPr>
          <w:p w14:paraId="187D9654" w14:textId="5405E4B9"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 xml:space="preserve">Índice de Pobreza Multidimensional </w:t>
            </w:r>
            <m:oMath>
              <m:r>
                <m:rPr>
                  <m:sty m:val="b"/>
                </m:rPr>
                <w:rPr>
                  <w:rFonts w:ascii="Cambria Math" w:hAnsi="Cambria Math"/>
                  <w:lang w:val="es-CO"/>
                </w:rPr>
                <m:t>(</m:t>
              </m:r>
              <m:sSub>
                <m:sSubPr>
                  <m:ctrlPr>
                    <w:rPr>
                      <w:rFonts w:ascii="Cambria Math" w:hAnsi="Cambria Math"/>
                      <w:b/>
                      <w:bCs/>
                      <w:lang w:val="es-CO"/>
                    </w:rPr>
                  </m:ctrlPr>
                </m:sSubPr>
                <m:e>
                  <m:r>
                    <m:rPr>
                      <m:sty m:val="bi"/>
                    </m:rPr>
                    <w:rPr>
                      <w:rFonts w:ascii="Cambria Math" w:hAnsi="Cambria Math"/>
                      <w:lang w:val="es-CO"/>
                    </w:rPr>
                    <m:t>IPM</m:t>
                  </m:r>
                </m:e>
                <m:sub>
                  <m:r>
                    <m:rPr>
                      <m:sty m:val="bi"/>
                    </m:rPr>
                    <w:rPr>
                      <w:rFonts w:ascii="Cambria Math" w:hAnsi="Cambria Math"/>
                      <w:lang w:val="es-CO"/>
                    </w:rPr>
                    <m:t>i</m:t>
                  </m:r>
                </m:sub>
              </m:sSub>
              <m:r>
                <m:rPr>
                  <m:sty m:val="b"/>
                </m:rPr>
                <w:rPr>
                  <w:rFonts w:ascii="Cambria Math" w:hAnsi="Cambria Math"/>
                  <w:lang w:val="es-CO"/>
                </w:rPr>
                <m:t>)</m:t>
              </m:r>
            </m:oMath>
          </w:p>
        </w:tc>
        <w:tc>
          <w:tcPr>
            <w:tcW w:w="1134" w:type="dxa"/>
            <w:tcBorders>
              <w:top w:val="nil"/>
            </w:tcBorders>
            <w:vAlign w:val="center"/>
            <w:hideMark/>
          </w:tcPr>
          <w:p w14:paraId="24FCD51B"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Socio-económica (multi-dimensional)</w:t>
            </w:r>
          </w:p>
        </w:tc>
        <w:tc>
          <w:tcPr>
            <w:tcW w:w="4678" w:type="dxa"/>
            <w:tcBorders>
              <w:top w:val="nil"/>
            </w:tcBorders>
            <w:vAlign w:val="center"/>
            <w:hideMark/>
          </w:tcPr>
          <w:p w14:paraId="12883651"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Indicador del DANE basado en 5 dimensiones y 15 indicadores; un hogar es pobre si supera 33,3% (Departamento Administrativo Nacional de Estadística [DANE], 2025). Permite identificar perfiles de privación similares entre barrios.</w:t>
            </w:r>
          </w:p>
        </w:tc>
        <w:tc>
          <w:tcPr>
            <w:tcW w:w="1418" w:type="dxa"/>
            <w:tcBorders>
              <w:top w:val="nil"/>
            </w:tcBorders>
            <w:vAlign w:val="center"/>
            <w:hideMark/>
          </w:tcPr>
          <w:p w14:paraId="0E987C2C"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Cuantitativa Continua</w:t>
            </w:r>
          </w:p>
        </w:tc>
      </w:tr>
      <w:tr w:rsidR="004D09EE" w14:paraId="7BF592E5" w14:textId="77777777" w:rsidTr="00497090">
        <w:trPr>
          <w:trHeight w:val="113"/>
        </w:trPr>
        <w:tc>
          <w:tcPr>
            <w:tcW w:w="1559" w:type="dxa"/>
            <w:vAlign w:val="center"/>
            <w:hideMark/>
          </w:tcPr>
          <w:p w14:paraId="5DDE00A3" w14:textId="126BE66F" w:rsidR="004D09EE" w:rsidRPr="004D09EE" w:rsidRDefault="004D09EE" w:rsidP="004D09EE">
            <w:pPr>
              <w:pStyle w:val="TABLECONTENT"/>
              <w:framePr w:hSpace="0" w:wrap="auto" w:vAnchor="margin" w:hAnchor="text" w:xAlign="left" w:yAlign="inline"/>
              <w:suppressOverlap w:val="0"/>
              <w:jc w:val="center"/>
              <w:rPr>
                <w:b/>
                <w:bCs/>
                <w:lang w:val="es-CO"/>
              </w:rPr>
            </w:pPr>
            <w:r w:rsidRPr="004D09EE">
              <w:rPr>
                <w:b/>
                <w:bCs/>
                <w:lang w:val="es-CO"/>
              </w:rPr>
              <w:t>% Daño [esperado en edificaciones] (</w:t>
            </w:r>
            <m:oMath>
              <m:sSub>
                <m:sSubPr>
                  <m:ctrlPr>
                    <w:rPr>
                      <w:rFonts w:ascii="Cambria Math" w:hAnsi="Cambria Math"/>
                      <w:b/>
                      <w:bCs/>
                      <w:lang w:val="es-CO"/>
                    </w:rPr>
                  </m:ctrlPr>
                </m:sSubPr>
                <m:e>
                  <m:r>
                    <m:rPr>
                      <m:sty m:val="bi"/>
                    </m:rPr>
                    <w:rPr>
                      <w:rFonts w:ascii="Cambria Math" w:hAnsi="Cambria Math"/>
                      <w:lang w:val="es-CO"/>
                    </w:rPr>
                    <m:t>D</m:t>
                  </m:r>
                </m:e>
                <m:sub>
                  <m:r>
                    <m:rPr>
                      <m:sty m:val="bi"/>
                    </m:rPr>
                    <w:rPr>
                      <w:rFonts w:ascii="Cambria Math" w:hAnsi="Cambria Math"/>
                      <w:lang w:val="es-CO"/>
                    </w:rPr>
                    <m:t>i</m:t>
                  </m:r>
                </m:sub>
              </m:sSub>
            </m:oMath>
            <w:r w:rsidRPr="004D09EE">
              <w:rPr>
                <w:b/>
                <w:bCs/>
                <w:lang w:val="es-CO"/>
              </w:rPr>
              <w:t>)</w:t>
            </w:r>
          </w:p>
        </w:tc>
        <w:tc>
          <w:tcPr>
            <w:tcW w:w="1134" w:type="dxa"/>
            <w:vAlign w:val="center"/>
            <w:hideMark/>
          </w:tcPr>
          <w:p w14:paraId="28CB5FC8"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Estructural (Exposición física)</w:t>
            </w:r>
          </w:p>
        </w:tc>
        <w:tc>
          <w:tcPr>
            <w:tcW w:w="4678" w:type="dxa"/>
            <w:vAlign w:val="center"/>
            <w:hideMark/>
          </w:tcPr>
          <w:p w14:paraId="1D264B15"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 xml:space="preserve">Daño medio esperado estimado mediante un factor de daño medio (MDF) del estudio de </w:t>
            </w:r>
            <w:proofErr w:type="spellStart"/>
            <w:r w:rsidRPr="004D09EE">
              <w:rPr>
                <w:lang w:val="es-CO"/>
              </w:rPr>
              <w:t>Rondòn</w:t>
            </w:r>
            <w:proofErr w:type="spellEnd"/>
            <w:r w:rsidRPr="004D09EE">
              <w:rPr>
                <w:lang w:val="es-CO"/>
              </w:rPr>
              <w:t xml:space="preserve"> &amp; Chio Cho (2005), usado para diferenciar zonas con mayor afectación física esperada.</w:t>
            </w:r>
          </w:p>
          <w:p w14:paraId="611B2CC8" w14:textId="77777777" w:rsidR="004D09EE" w:rsidRPr="004D09EE" w:rsidRDefault="004D09EE" w:rsidP="004D09EE">
            <w:pPr>
              <w:pStyle w:val="TABLECONTENT"/>
              <w:framePr w:hSpace="0" w:wrap="auto" w:vAnchor="margin" w:hAnchor="text" w:xAlign="left" w:yAlign="inline"/>
              <w:suppressOverlap w:val="0"/>
              <w:jc w:val="center"/>
              <w:rPr>
                <w:lang w:val="es-CO"/>
              </w:rPr>
            </w:pPr>
          </w:p>
        </w:tc>
        <w:tc>
          <w:tcPr>
            <w:tcW w:w="1418" w:type="dxa"/>
            <w:vAlign w:val="center"/>
            <w:hideMark/>
          </w:tcPr>
          <w:p w14:paraId="6A91F1C9" w14:textId="77777777" w:rsidR="004D09EE" w:rsidRPr="004D09EE" w:rsidRDefault="004D09EE" w:rsidP="004D09EE">
            <w:pPr>
              <w:pStyle w:val="TABLECONTENT"/>
              <w:framePr w:hSpace="0" w:wrap="auto" w:vAnchor="margin" w:hAnchor="text" w:xAlign="left" w:yAlign="inline"/>
              <w:suppressOverlap w:val="0"/>
              <w:jc w:val="center"/>
              <w:rPr>
                <w:lang w:val="es-CO"/>
              </w:rPr>
            </w:pPr>
            <w:r w:rsidRPr="004D09EE">
              <w:rPr>
                <w:lang w:val="es-CO"/>
              </w:rPr>
              <w:t>Cuantitativa Continua</w:t>
            </w:r>
          </w:p>
        </w:tc>
      </w:tr>
    </w:tbl>
    <w:p w14:paraId="776E110C" w14:textId="77777777" w:rsidR="00090230" w:rsidRDefault="00090230" w:rsidP="00122DA9">
      <w:pPr>
        <w:pStyle w:val="Figure"/>
        <w:spacing w:after="0" w:line="240" w:lineRule="auto"/>
        <w:ind w:left="0" w:firstLine="0"/>
        <w:jc w:val="both"/>
      </w:pPr>
    </w:p>
    <w:p w14:paraId="527745C2" w14:textId="5C950A03" w:rsidR="004F063F" w:rsidRDefault="004F063F" w:rsidP="004F063F">
      <w:pPr>
        <w:pStyle w:val="BODY0"/>
        <w:ind w:right="824"/>
      </w:pPr>
      <w:r w:rsidRPr="00817BE7">
        <w:t xml:space="preserve">Dado que las variables de entrada son de naturaleza mixta, la matriz de disimilitudes se construye con el coeficiente de Gower (Gower, 1971); en paralelo, se construye una matriz de distancias espaciales a partir de los centroides, trabajando en MAGNA-SIRGAS / Colombia Bogotá – EPSG:3116. Para clusterizar considerando ambas fuentes de información, se combinan con el método expuesto por </w:t>
      </w:r>
      <w:proofErr w:type="spellStart"/>
      <w:r w:rsidRPr="00817BE7">
        <w:t>Melssen</w:t>
      </w:r>
      <w:proofErr w:type="spellEnd"/>
      <w:r w:rsidRPr="00817BE7">
        <w:t xml:space="preserve"> et al. (2006), definiendo </w:t>
      </w:r>
      <w:r w:rsidRPr="00817BE7">
        <w:rPr>
          <w:rFonts w:hint="eastAsia"/>
        </w:rPr>
        <w:t>α</w:t>
      </w:r>
      <w:r w:rsidRPr="00817BE7">
        <w:t xml:space="preserve"> = 0,5, y se implementa el método de </w:t>
      </w:r>
      <w:proofErr w:type="spellStart"/>
      <w:r w:rsidRPr="00817BE7">
        <w:t>Cailliez</w:t>
      </w:r>
      <w:proofErr w:type="spellEnd"/>
      <w:r w:rsidRPr="00817BE7">
        <w:t xml:space="preserve"> (1983) para encontrar una representación euclidiana.</w:t>
      </w:r>
    </w:p>
    <w:p w14:paraId="45C965C3" w14:textId="4520A01E" w:rsidR="00FA4357" w:rsidRDefault="00C415A8" w:rsidP="00FA4357">
      <w:pPr>
        <w:pStyle w:val="BODY0"/>
        <w:spacing w:after="0" w:line="240" w:lineRule="auto"/>
        <w:ind w:right="824"/>
        <w:jc w:val="center"/>
      </w:pPr>
      <w:r w:rsidRPr="00A16594">
        <w:rPr>
          <w:noProof/>
        </w:rPr>
        <w:drawing>
          <wp:inline distT="0" distB="0" distL="0" distR="0" wp14:anchorId="0FAB8507" wp14:editId="0D5D10B2">
            <wp:extent cx="5114925" cy="2785070"/>
            <wp:effectExtent l="0" t="0" r="0" b="0"/>
            <wp:docPr id="850330141"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330141" name="Imagen 1" descr="Diagrama&#10;&#10;El contenido generado por IA puede ser incorrecto."/>
                    <pic:cNvPicPr/>
                  </pic:nvPicPr>
                  <pic:blipFill rotWithShape="1">
                    <a:blip r:embed="rId10"/>
                    <a:srcRect b="6142"/>
                    <a:stretch>
                      <a:fillRect/>
                    </a:stretch>
                  </pic:blipFill>
                  <pic:spPr bwMode="auto">
                    <a:xfrm>
                      <a:off x="0" y="0"/>
                      <a:ext cx="5181081" cy="2821092"/>
                    </a:xfrm>
                    <a:prstGeom prst="rect">
                      <a:avLst/>
                    </a:prstGeom>
                    <a:ln>
                      <a:noFill/>
                    </a:ln>
                    <a:extLst>
                      <a:ext uri="{53640926-AAD7-44D8-BBD7-CCE9431645EC}">
                        <a14:shadowObscured xmlns:a14="http://schemas.microsoft.com/office/drawing/2010/main"/>
                      </a:ext>
                    </a:extLst>
                  </pic:spPr>
                </pic:pic>
              </a:graphicData>
            </a:graphic>
          </wp:inline>
        </w:drawing>
      </w:r>
    </w:p>
    <w:p w14:paraId="5A51B837" w14:textId="77777777" w:rsidR="00FA4357" w:rsidRDefault="00FA4357" w:rsidP="00FA4357">
      <w:pPr>
        <w:pStyle w:val="Figure"/>
        <w:spacing w:after="0" w:line="240" w:lineRule="auto"/>
      </w:pPr>
      <w:r w:rsidRPr="001959F8">
        <w:t xml:space="preserve">Fig. </w:t>
      </w:r>
      <w:r>
        <w:t>2</w:t>
      </w:r>
      <w:r w:rsidRPr="001959F8">
        <w:t xml:space="preserve">. </w:t>
      </w:r>
      <w:r w:rsidRPr="00090230">
        <w:t>Descripción general del algoritmo PAM</w:t>
      </w:r>
      <w:r>
        <w:t>.</w:t>
      </w:r>
    </w:p>
    <w:p w14:paraId="00359113" w14:textId="77777777" w:rsidR="004F063F" w:rsidRDefault="004F063F" w:rsidP="00FA4357">
      <w:pPr>
        <w:pStyle w:val="Figure"/>
        <w:spacing w:after="0" w:line="240" w:lineRule="auto"/>
      </w:pPr>
    </w:p>
    <w:p w14:paraId="7E823C35" w14:textId="77777777" w:rsidR="004F063F" w:rsidRDefault="004F063F" w:rsidP="004F063F">
      <w:pPr>
        <w:pStyle w:val="BODY0"/>
        <w:ind w:right="824"/>
      </w:pPr>
    </w:p>
    <w:p w14:paraId="1E733BCA" w14:textId="1837B537" w:rsidR="00FA4357" w:rsidRPr="00DE4415" w:rsidRDefault="004F063F" w:rsidP="00C415A8">
      <w:pPr>
        <w:pStyle w:val="BODY0"/>
        <w:ind w:right="824"/>
      </w:pPr>
      <w:r>
        <w:lastRenderedPageBreak/>
        <w:t>Para definir el número de clústeres k, se realiza un análisis de la familia de particiones desde k=2 hasta k=15,</w:t>
      </w:r>
      <w:r w:rsidRPr="00AF56FD">
        <w:t xml:space="preserve"> comparando su calidad mediante los criterios del codo y el índice de silueta</w:t>
      </w:r>
      <w:r>
        <w:t>. Una vez definido el número de clústeres, se realiza la c</w:t>
      </w:r>
      <w:r w:rsidRPr="00DE4415">
        <w:t>lusterización mediante el algoritmo PAM</w:t>
      </w:r>
      <w:r>
        <w:t xml:space="preserve"> (ver Fig. 2) </w:t>
      </w:r>
      <w:r w:rsidRPr="001132C2">
        <w:t xml:space="preserve">presentado por Kaufman y </w:t>
      </w:r>
      <w:proofErr w:type="spellStart"/>
      <w:r w:rsidRPr="001132C2">
        <w:t>Rousseeuw</w:t>
      </w:r>
      <w:proofErr w:type="spellEnd"/>
      <w:r w:rsidRPr="001132C2">
        <w:t xml:space="preserve"> (1987)</w:t>
      </w:r>
      <w:r>
        <w:t xml:space="preserve">, una </w:t>
      </w:r>
      <w:r w:rsidRPr="00DE4415">
        <w:t>la herramienta clásica para determinar los k-medoides y la asignación de barrios</w:t>
      </w:r>
      <w:r>
        <w:t xml:space="preserve">. </w:t>
      </w:r>
      <w:r w:rsidRPr="00DE4415">
        <w:t>Después de implementar el algoritmo se genera la asignación de cada barrio i a un clúster c(i)</w:t>
      </w:r>
      <w:r>
        <w:t>.</w:t>
      </w:r>
    </w:p>
    <w:p w14:paraId="08D782F0" w14:textId="75EC117F" w:rsidR="00DE4415" w:rsidRPr="00DE4415" w:rsidRDefault="00DE4415" w:rsidP="00DE4415">
      <w:pPr>
        <w:pStyle w:val="HEADING2"/>
      </w:pPr>
      <w:r w:rsidRPr="00DE4415">
        <w:t>3.2|Fase de localización</w:t>
      </w:r>
    </w:p>
    <w:p w14:paraId="77181120" w14:textId="77777777" w:rsidR="00420BE1" w:rsidRDefault="0052141C" w:rsidP="00DE4415">
      <w:pPr>
        <w:pStyle w:val="BODY0"/>
        <w:ind w:right="824"/>
      </w:pPr>
      <w:r w:rsidRPr="0052141C">
        <w:t xml:space="preserve">La partición territorial obtenida (k clústeres) </w:t>
      </w:r>
      <w:r w:rsidR="00420BE1" w:rsidRPr="00420BE1">
        <w:t xml:space="preserve">permite establecer un centro médico temporal (CMT) representativo por clúster. Con el fin de aproximar la carga de atención esperada para los CMT a localizar ante un escenario sísmico, el modelo estima para cada barrio una demanda </w:t>
      </w:r>
      <w:r w:rsidRPr="0052141C">
        <w:t xml:space="preserve">(personas) a partir de su población (Pi) y un factor de afectación que depende de IPMi, Di y Ei. </w:t>
      </w:r>
    </w:p>
    <w:p w14:paraId="4F745889" w14:textId="6022C701" w:rsidR="0052141C" w:rsidRDefault="00822681" w:rsidP="00DE4415">
      <w:pPr>
        <w:pStyle w:val="BODY0"/>
        <w:ind w:right="824"/>
      </w:pPr>
      <w:r w:rsidRPr="00822681">
        <w:t xml:space="preserve">Por lo tanto, con el fin de estimar la demanda tras un evento plausible sin subestimar o ser muy conservadores, en este </w:t>
      </w:r>
      <w:r>
        <w:t>estudio</w:t>
      </w:r>
      <w:r w:rsidRPr="00822681">
        <w:t xml:space="preserve"> se define:</w:t>
      </w:r>
      <w:r w:rsidR="00A160B9">
        <w:t xml:space="preserve"> Wmin</w:t>
      </w:r>
      <w:r w:rsidR="0052141C" w:rsidRPr="0052141C">
        <w:t>= 0,5% y Wmax = 5% (considerando literatura y</w:t>
      </w:r>
      <w:r w:rsidR="00D74385">
        <w:t xml:space="preserve"> </w:t>
      </w:r>
      <w:r w:rsidR="00D74385" w:rsidRPr="00D74385">
        <w:t>registros de terremotos en Colombia</w:t>
      </w:r>
      <w:r w:rsidR="0052141C" w:rsidRPr="0052141C">
        <w:t xml:space="preserve"> EM-DAT, 2025). Con la demanda potencial definida, el modelo ubica un CMT por clúster usando un centroide ponderado por demanda, de modo que la localización refleje simultáneamente la distribución espacial de los barrios y la intensidad relativa de la demanda dentro del clúster.</w:t>
      </w:r>
    </w:p>
    <w:p w14:paraId="2039D55A" w14:textId="53AC1092" w:rsidR="00DE4415" w:rsidRPr="00DE4415" w:rsidRDefault="00DE4415" w:rsidP="00DE4415">
      <w:pPr>
        <w:pStyle w:val="HEADING2"/>
      </w:pPr>
      <w:r w:rsidRPr="00DE4415">
        <w:t>3.3|Evaluación de cobertura</w:t>
      </w:r>
    </w:p>
    <w:p w14:paraId="457C2753" w14:textId="389DF2B5" w:rsidR="00DE4415" w:rsidRPr="00DE4415" w:rsidRDefault="00E9094D" w:rsidP="00DE4415">
      <w:pPr>
        <w:pStyle w:val="BODY0"/>
        <w:ind w:right="824"/>
      </w:pPr>
      <w:r>
        <w:t>Por último,</w:t>
      </w:r>
      <w:r w:rsidR="00DE4415" w:rsidRPr="00DE4415">
        <w:t xml:space="preserve"> se evalúa el nivel </w:t>
      </w:r>
      <w:r w:rsidR="001A522F">
        <w:t xml:space="preserve">de cobertura </w:t>
      </w:r>
      <w:r w:rsidR="00DE4415" w:rsidRPr="00DE4415">
        <w:t>alcanzado bajo un escenario</w:t>
      </w:r>
      <w:r w:rsidR="001A522F">
        <w:t xml:space="preserve"> específico</w:t>
      </w:r>
      <w:r w:rsidR="00DE4415" w:rsidRPr="00DE4415">
        <w:t xml:space="preserve"> de segmentación espacial y localización de sus respectivos CMT</w:t>
      </w:r>
      <w:r w:rsidR="00A637AB">
        <w:t xml:space="preserve"> a partir de un radio de cobertura. Este radio representa </w:t>
      </w:r>
      <w:r w:rsidR="00A637AB" w:rsidRPr="00A637AB">
        <w:t>la distancia máxima que una persona podría recorrer para acceder a atención médica dentro de un tiempo de respuesta aceptable</w:t>
      </w:r>
      <w:r w:rsidR="00A637AB">
        <w:t xml:space="preserve"> y se considera que varía</w:t>
      </w:r>
      <w:r w:rsidR="00DE4415" w:rsidRPr="00DE4415">
        <w:t xml:space="preserve"> </w:t>
      </w:r>
      <w:r w:rsidR="00A637AB">
        <w:t>en</w:t>
      </w:r>
      <w:r w:rsidR="00DE4415" w:rsidRPr="00DE4415">
        <w:t xml:space="preserve"> cada clúster en función de las características socioeconómicas y estructurales promedio que lo describen.</w:t>
      </w:r>
    </w:p>
    <w:p w14:paraId="633CCC54" w14:textId="77777777" w:rsidR="003A282C" w:rsidRDefault="0012014E" w:rsidP="003A282C">
      <w:pPr>
        <w:pStyle w:val="BODY0"/>
        <w:ind w:right="824"/>
      </w:pPr>
      <w:r>
        <w:t>S</w:t>
      </w:r>
      <w:r w:rsidR="00DE4415" w:rsidRPr="00DE4415">
        <w:t>e calcula a partir de tres componentes: tiempo máximo de respuesta, velocidad nominal de desplazamiento y un factor de ajuste que refleja vulnerabilidad</w:t>
      </w:r>
      <w:r w:rsidR="00872C2E">
        <w:t>.</w:t>
      </w:r>
      <w:r w:rsidR="003A282C">
        <w:t xml:space="preserve"> </w:t>
      </w:r>
      <w:r w:rsidR="00D53CFC">
        <w:t xml:space="preserve">Para este estudio, </w:t>
      </w:r>
      <w:r w:rsidR="003A282C">
        <w:t xml:space="preserve"> se definen los siguientes valores:</w:t>
      </w:r>
    </w:p>
    <w:p w14:paraId="132A240C" w14:textId="026915C5" w:rsidR="003A282C" w:rsidRDefault="00000000" w:rsidP="006C2B5B">
      <w:pPr>
        <w:pStyle w:val="BODY0"/>
        <w:numPr>
          <w:ilvl w:val="0"/>
          <w:numId w:val="20"/>
        </w:numPr>
        <w:spacing w:after="0"/>
        <w:ind w:right="824"/>
        <w:rPr>
          <w:rFonts w:eastAsiaTheme="minorEastAsia"/>
        </w:rPr>
      </w:pPr>
      <m:oMath>
        <m:sSub>
          <m:sSubPr>
            <m:ctrlPr>
              <w:rPr>
                <w:rFonts w:ascii="Cambria Math" w:hAnsi="Cambria Math"/>
              </w:rPr>
            </m:ctrlPr>
          </m:sSubPr>
          <m:e>
            <m:r>
              <w:rPr>
                <w:rFonts w:ascii="Cambria Math" w:hAnsi="Cambria Math"/>
              </w:rPr>
              <m:t>T</m:t>
            </m:r>
          </m:e>
          <m:sub>
            <m:r>
              <w:rPr>
                <w:rFonts w:ascii="Cambria Math" w:hAnsi="Cambria Math"/>
              </w:rPr>
              <m:t>rta</m:t>
            </m:r>
          </m:sub>
        </m:sSub>
        <m:r>
          <w:rPr>
            <w:rFonts w:ascii="Cambria Math" w:hAnsi="Cambria Math"/>
          </w:rPr>
          <m:t>=10</m:t>
        </m:r>
      </m:oMath>
      <w:r w:rsidR="00D53CFC" w:rsidRPr="004A6520">
        <w:t>minutos</w:t>
      </w:r>
      <w:r w:rsidR="00D53CFC">
        <w:t xml:space="preserve">, considerando que </w:t>
      </w:r>
      <w:r w:rsidR="004A6520" w:rsidRPr="004A6520">
        <w:t>Pons &amp; Markovchick (2002) indican que se usa el criterio de respuesta de una ambulancia dentro de 8 min</w:t>
      </w:r>
      <w:r w:rsidR="00D53CFC">
        <w:t>, pero Aguiar</w:t>
      </w:r>
      <w:r w:rsidR="003C573A">
        <w:t xml:space="preserve"> (2022) </w:t>
      </w:r>
      <w:r w:rsidR="004A6520" w:rsidRPr="004A6520">
        <w:t>reporta valores como Chicago (10 minutos), Seattle (6 minutos) y Ámsterdam (15 minutos)</w:t>
      </w:r>
      <w:r w:rsidR="003C573A">
        <w:t>,</w:t>
      </w:r>
      <w:r w:rsidR="008906DE">
        <w:t xml:space="preserve"> mientras que </w:t>
      </w:r>
      <w:r w:rsidR="004A6520" w:rsidRPr="004A6520">
        <w:t>en Bucaramanga se plantea un objetivo de</w:t>
      </w:r>
      <w:r w:rsidR="00734EE8">
        <w:t xml:space="preserve"> </w:t>
      </w:r>
      <w:r w:rsidR="00734EE8" w:rsidRPr="00734EE8">
        <w:t>atender incendios</w:t>
      </w:r>
      <w:r w:rsidR="00734EE8">
        <w:t xml:space="preserve"> en</w:t>
      </w:r>
      <w:r w:rsidR="004A6520" w:rsidRPr="004A6520">
        <w:t xml:space="preserve"> 9 minutos (Cuerpo Oficial de Bomberos, 2021)</w:t>
      </w:r>
      <w:r w:rsidR="003C573A">
        <w:t>.</w:t>
      </w:r>
      <w:r w:rsidR="004A6520" w:rsidRPr="004A6520">
        <w:t xml:space="preserve"> </w:t>
      </w:r>
    </w:p>
    <w:p w14:paraId="7F925A36" w14:textId="77777777" w:rsidR="00EA6F83" w:rsidRDefault="00000000" w:rsidP="006C2B5B">
      <w:pPr>
        <w:pStyle w:val="BODY0"/>
        <w:numPr>
          <w:ilvl w:val="0"/>
          <w:numId w:val="20"/>
        </w:numPr>
        <w:spacing w:after="0"/>
        <w:ind w:right="824"/>
      </w:pPr>
      <m:oMath>
        <m:sSub>
          <m:sSubPr>
            <m:ctrlPr>
              <w:rPr>
                <w:rFonts w:ascii="Cambria Math" w:hAnsi="Cambria Math"/>
              </w:rPr>
            </m:ctrlPr>
          </m:sSubPr>
          <m:e>
            <m:r>
              <w:rPr>
                <w:rFonts w:ascii="Cambria Math" w:hAnsi="Cambria Math"/>
              </w:rPr>
              <m:t>V</m:t>
            </m:r>
          </m:e>
          <m:sub>
            <m:r>
              <w:rPr>
                <w:rFonts w:ascii="Cambria Math" w:hAnsi="Cambria Math"/>
              </w:rPr>
              <m:t>nom</m:t>
            </m:r>
          </m:sub>
        </m:sSub>
        <m:r>
          <w:rPr>
            <w:rFonts w:ascii="Cambria Math" w:hAnsi="Cambria Math"/>
          </w:rPr>
          <m:t>=20</m:t>
        </m:r>
      </m:oMath>
      <w:r w:rsidR="004A6520" w:rsidRPr="004A6520">
        <w:t>km/h</w:t>
      </w:r>
      <w:r w:rsidR="008F0C67">
        <w:t xml:space="preserve">, </w:t>
      </w:r>
      <w:r w:rsidR="004A6520" w:rsidRPr="004A6520">
        <w:t xml:space="preserve">a partir del supuesto de velocidad media en calles afectadas </w:t>
      </w:r>
      <w:r w:rsidR="008F0C67">
        <w:t xml:space="preserve">presentado por </w:t>
      </w:r>
      <w:r w:rsidR="004A6520" w:rsidRPr="004A6520">
        <w:t>Feng &amp; Wang</w:t>
      </w:r>
      <w:r w:rsidR="00EA6F83">
        <w:t xml:space="preserve"> (</w:t>
      </w:r>
      <w:r w:rsidR="004A6520" w:rsidRPr="004A6520">
        <w:t xml:space="preserve">2003) y </w:t>
      </w:r>
      <w:r w:rsidR="00EA6F83">
        <w:t>las</w:t>
      </w:r>
      <w:r w:rsidR="004A6520" w:rsidRPr="004A6520">
        <w:t xml:space="preserve"> condiciones locales de movilidad (Dirección de Tránsito de Bucaramanga, 2017). </w:t>
      </w:r>
    </w:p>
    <w:p w14:paraId="41BBCAF9" w14:textId="61291DC3" w:rsidR="00872C2E" w:rsidRDefault="004A6520" w:rsidP="006C2B5B">
      <w:pPr>
        <w:pStyle w:val="BODY0"/>
        <w:numPr>
          <w:ilvl w:val="0"/>
          <w:numId w:val="20"/>
        </w:numPr>
        <w:spacing w:after="0"/>
        <w:ind w:right="824"/>
      </w:pPr>
      <w:r w:rsidRPr="004A6520">
        <w:t xml:space="preserve">El factor </w:t>
      </w:r>
      <m:oMath>
        <m:sSub>
          <m:sSubPr>
            <m:ctrlPr>
              <w:rPr>
                <w:rFonts w:ascii="Cambria Math" w:hAnsi="Cambria Math"/>
              </w:rPr>
            </m:ctrlPr>
          </m:sSubPr>
          <m:e>
            <m:r>
              <w:rPr>
                <w:rFonts w:ascii="Cambria Math" w:hAnsi="Cambria Math"/>
              </w:rPr>
              <m:t>V</m:t>
            </m:r>
          </m:e>
          <m:sub>
            <m:r>
              <w:rPr>
                <w:rFonts w:ascii="Cambria Math" w:hAnsi="Cambria Math"/>
              </w:rPr>
              <m:t>c</m:t>
            </m:r>
          </m:sub>
        </m:sSub>
      </m:oMath>
      <w:r w:rsidR="00072096">
        <w:rPr>
          <w:rFonts w:eastAsiaTheme="minorEastAsia"/>
        </w:rPr>
        <w:t xml:space="preserve"> </w:t>
      </w:r>
      <w:r w:rsidRPr="004A6520">
        <w:t xml:space="preserve">se construye con estrato y porcentaje medio de daño esperado, excluyendo el IPM </w:t>
      </w:r>
      <w:r w:rsidR="00EE1DC6" w:rsidRPr="00EE1DC6">
        <w:t>porque su relación directa con la afectación vial y la movilidad post-sismo es menor, al enfocarse principalmente en pobreza y privación social</w:t>
      </w:r>
      <w:r w:rsidR="00EE1DC6">
        <w:t xml:space="preserve"> en los hogares</w:t>
      </w:r>
      <w:r w:rsidR="00EE1DC6" w:rsidRPr="00EE1DC6">
        <w:t xml:space="preserve"> (DANE, 2025).</w:t>
      </w:r>
    </w:p>
    <w:p w14:paraId="5567CE40" w14:textId="77777777" w:rsidR="006C2B5B" w:rsidRDefault="006C2B5B" w:rsidP="006C2B5B">
      <w:pPr>
        <w:pStyle w:val="BODY0"/>
        <w:spacing w:after="0"/>
        <w:ind w:left="1080" w:right="824"/>
      </w:pPr>
    </w:p>
    <w:p w14:paraId="3BE9AB17" w14:textId="08677E63" w:rsidR="00BD053A" w:rsidRPr="00DE4415" w:rsidRDefault="009B0900" w:rsidP="00DE4415">
      <w:pPr>
        <w:pStyle w:val="BODY0"/>
        <w:ind w:right="824"/>
      </w:pPr>
      <w:r w:rsidRPr="009B0900">
        <w:t>Definidos los radios por clúster y las coordenadas del CMT, se clasifica cada barrio como cubierto o no cubierto según si la distancia euclidiana entre su centroide y el CMT de su clúster es menor o igual al radio. La cobertura total de la ciudad se calcula como la razón entre la demanda total cubierta y la demanda potencial agregada de los 206 barrios.</w:t>
      </w:r>
    </w:p>
    <w:p w14:paraId="7312D09F" w14:textId="38E4DA46" w:rsidR="00BD053A" w:rsidRPr="009B0900" w:rsidRDefault="00BD053A" w:rsidP="00BD053A">
      <w:pPr>
        <w:pStyle w:val="HEADING10"/>
      </w:pPr>
      <w:r w:rsidRPr="009B0900">
        <w:t>4|</w:t>
      </w:r>
      <w:r w:rsidR="00FA0D9B" w:rsidRPr="009B0900">
        <w:t xml:space="preserve">Resultados y </w:t>
      </w:r>
      <w:r w:rsidRPr="009B0900">
        <w:t>Discusión</w:t>
      </w:r>
      <w:r w:rsidRPr="009B0900">
        <w:tab/>
      </w:r>
      <w:r w:rsidRPr="009B0900">
        <w:tab/>
      </w:r>
    </w:p>
    <w:p w14:paraId="397495B8" w14:textId="63F920BD" w:rsidR="00FA1EB5" w:rsidRPr="00FA1EB5" w:rsidRDefault="00FA1EB5" w:rsidP="00EC0F61">
      <w:pPr>
        <w:pStyle w:val="HEADING2"/>
      </w:pPr>
      <w:r>
        <w:t>4.1</w:t>
      </w:r>
      <w:r w:rsidRPr="00DE4415">
        <w:t>|</w:t>
      </w:r>
      <w:r w:rsidRPr="00FA1EB5">
        <w:t>Evaluación de esquemas de localización</w:t>
      </w:r>
    </w:p>
    <w:p w14:paraId="5927CC3E" w14:textId="1FB96F90" w:rsidR="003E7230" w:rsidRDefault="00DD4E8B" w:rsidP="003E7230">
      <w:pPr>
        <w:pStyle w:val="BODY0"/>
        <w:ind w:right="824"/>
      </w:pPr>
      <w:r w:rsidRPr="00DD4E8B">
        <w:t xml:space="preserve">Con el fin de analizar el impacto del nivel de segmentación de la ciudad sobre la cobertura del sistema y la atención de la zona más crítica, se evalúan esquemas de localización definidos por el número de clústeres k. Este parámetro se determina evaluando la familia de particiones y comparando su calidad mediante el </w:t>
      </w:r>
      <w:r w:rsidRPr="00DD4E8B">
        <w:lastRenderedPageBreak/>
        <w:t>criterio del codo y el índice de silueta</w:t>
      </w:r>
      <w:r w:rsidR="00C63510">
        <w:t xml:space="preserve"> (ver Fig. 3)</w:t>
      </w:r>
      <w:r w:rsidRPr="00DD4E8B">
        <w:t>, seleccionando las particiones mejor posicionadas según estos criterios. De este modo, se comparan los esquemas k=2, k=3 y k=5, donde cada segmentación se interpreta como un esquema alternativo de localización al cual se le evalúa la cobertura sobre la ciudad (ver Fig</w:t>
      </w:r>
      <w:r w:rsidR="00C63510">
        <w:t>.</w:t>
      </w:r>
      <w:r w:rsidRPr="00DD4E8B">
        <w:t xml:space="preserve"> </w:t>
      </w:r>
      <w:r w:rsidR="00C63510">
        <w:t>4</w:t>
      </w:r>
      <w:r w:rsidRPr="00DD4E8B">
        <w:t>).</w:t>
      </w:r>
    </w:p>
    <w:p w14:paraId="32FB5C46" w14:textId="47D50FF5" w:rsidR="005612C3" w:rsidRDefault="005612C3" w:rsidP="005612C3">
      <w:pPr>
        <w:pStyle w:val="BODY0"/>
        <w:ind w:right="824"/>
      </w:pPr>
      <w:r w:rsidRPr="005612C3">
        <w:rPr>
          <w:noProof/>
        </w:rPr>
        <w:drawing>
          <wp:inline distT="0" distB="0" distL="0" distR="0" wp14:anchorId="53D20112" wp14:editId="483E832D">
            <wp:extent cx="5623825" cy="1547495"/>
            <wp:effectExtent l="0" t="0" r="0" b="0"/>
            <wp:docPr id="1940667480" name="Imagen 1" descr="Gráfico, Gráfico de líne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667480" name="Imagen 1" descr="Gráfico, Gráfico de líneas&#10;&#10;El contenido generado por IA puede ser incorrecto."/>
                    <pic:cNvPicPr/>
                  </pic:nvPicPr>
                  <pic:blipFill rotWithShape="1">
                    <a:blip r:embed="rId11"/>
                    <a:srcRect l="1101" t="2659" r="1095"/>
                    <a:stretch>
                      <a:fillRect/>
                    </a:stretch>
                  </pic:blipFill>
                  <pic:spPr bwMode="auto">
                    <a:xfrm>
                      <a:off x="0" y="0"/>
                      <a:ext cx="5637486" cy="1551254"/>
                    </a:xfrm>
                    <a:prstGeom prst="rect">
                      <a:avLst/>
                    </a:prstGeom>
                    <a:ln>
                      <a:noFill/>
                    </a:ln>
                    <a:extLst>
                      <a:ext uri="{53640926-AAD7-44D8-BBD7-CCE9431645EC}">
                        <a14:shadowObscured xmlns:a14="http://schemas.microsoft.com/office/drawing/2010/main"/>
                      </a:ext>
                    </a:extLst>
                  </pic:spPr>
                </pic:pic>
              </a:graphicData>
            </a:graphic>
          </wp:inline>
        </w:drawing>
      </w:r>
    </w:p>
    <w:p w14:paraId="415834CF" w14:textId="03E8786C" w:rsidR="003E7230" w:rsidRPr="00FA1EB5" w:rsidRDefault="003E7230" w:rsidP="007A16D0">
      <w:pPr>
        <w:pStyle w:val="Figure"/>
        <w:spacing w:after="0" w:line="240" w:lineRule="auto"/>
      </w:pPr>
      <w:r w:rsidRPr="001959F8">
        <w:t xml:space="preserve">Fig. </w:t>
      </w:r>
      <w:r>
        <w:t>3</w:t>
      </w:r>
      <w:r w:rsidRPr="001959F8">
        <w:t xml:space="preserve">. </w:t>
      </w:r>
      <w:r w:rsidR="007A16D0" w:rsidRPr="007A16D0">
        <w:t>Silhouetee</w:t>
      </w:r>
      <w:r w:rsidR="00CA704E">
        <w:t>/</w:t>
      </w:r>
      <w:r w:rsidR="00CA704E" w:rsidRPr="00CA704E">
        <w:t xml:space="preserve"> Elbow (WSS)</w:t>
      </w:r>
      <w:r w:rsidR="007A16D0" w:rsidRPr="007A16D0">
        <w:t>- PAM sobre matriz fusionada.</w:t>
      </w:r>
    </w:p>
    <w:p w14:paraId="5C06A719" w14:textId="14BE56D9" w:rsidR="00FA1EB5" w:rsidRPr="00FA1EB5" w:rsidRDefault="00FA1EB5" w:rsidP="00997772">
      <w:pPr>
        <w:pStyle w:val="HEADING2"/>
      </w:pPr>
      <w:r>
        <w:t>4</w:t>
      </w:r>
      <w:r w:rsidRPr="00DE4415">
        <w:t>.</w:t>
      </w:r>
      <w:r>
        <w:t>2</w:t>
      </w:r>
      <w:r w:rsidRPr="00DE4415">
        <w:t>|</w:t>
      </w:r>
      <w:r w:rsidRPr="00FA1EB5">
        <w:t>Configuración espacial de los CMT</w:t>
      </w:r>
    </w:p>
    <w:p w14:paraId="2E99803A" w14:textId="07CF61E1" w:rsidR="00FA1EB5" w:rsidRDefault="00997772" w:rsidP="00997772">
      <w:pPr>
        <w:pStyle w:val="BODY0"/>
        <w:ind w:right="824"/>
      </w:pPr>
      <w:r w:rsidRPr="00997772">
        <w:t>Para cada esquema, se localiza un CMT representativo por clúster, lo que define una configuración espacial del sistema de atención asociada a la segmentación propuesta. La Tabla</w:t>
      </w:r>
      <w:r w:rsidR="00C24313">
        <w:t>.</w:t>
      </w:r>
      <w:r w:rsidRPr="00997772">
        <w:t xml:space="preserve"> </w:t>
      </w:r>
      <w:r w:rsidR="00A56F1D">
        <w:t xml:space="preserve">4, </w:t>
      </w:r>
      <w:r w:rsidRPr="00997772">
        <w:t xml:space="preserve"> resume las coordenadas geográficas de los CMT y la demanda asignada por clúster, permitiendo una lectura cuantitativa de las ubicaciones obtenidas y su correspondencia con la carga potencial de atención. Esta configuración se interpreta en conjunto con la representación espacial del esquema, donde se visualiza la ubicación de los CMT respecto a los centroides de los barrios y a los radios de cobertura definidos por clúster </w:t>
      </w:r>
      <w:r w:rsidR="00C63510" w:rsidRPr="00DD4E8B">
        <w:t>(ver Fig</w:t>
      </w:r>
      <w:r w:rsidR="00C63510">
        <w:t>.</w:t>
      </w:r>
      <w:r w:rsidR="00C63510" w:rsidRPr="00DD4E8B">
        <w:t xml:space="preserve"> </w:t>
      </w:r>
      <w:r w:rsidR="00C63510">
        <w:t>4</w:t>
      </w:r>
      <w:r w:rsidR="00C63510" w:rsidRPr="00DD4E8B">
        <w:t>).</w:t>
      </w:r>
    </w:p>
    <w:p w14:paraId="2EADA20B" w14:textId="47DD3EF7" w:rsidR="00020035" w:rsidRDefault="00020035" w:rsidP="00020035">
      <w:pPr>
        <w:pStyle w:val="Figure"/>
        <w:spacing w:after="0"/>
      </w:pPr>
      <w:r w:rsidRPr="00FC3173">
        <w:t>Tabl</w:t>
      </w:r>
      <w:r>
        <w:t>a</w:t>
      </w:r>
      <w:r w:rsidRPr="00FC3173">
        <w:t xml:space="preserve"> </w:t>
      </w:r>
      <w:r w:rsidR="009C2CEE">
        <w:t>4</w:t>
      </w:r>
      <w:r w:rsidRPr="00FC3173">
        <w:t xml:space="preserve">. </w:t>
      </w:r>
      <w:r w:rsidR="00D96223" w:rsidRPr="00D96223">
        <w:t>Coordenadas de los CMT localizados en cada esquema propuesto.</w:t>
      </w:r>
    </w:p>
    <w:tbl>
      <w:tblPr>
        <w:tblStyle w:val="Tablaconcuadrcula"/>
        <w:tblW w:w="4215" w:type="pct"/>
        <w:tblInd w:w="704" w:type="dxa"/>
        <w:tblBorders>
          <w:left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93"/>
        <w:gridCol w:w="853"/>
        <w:gridCol w:w="1279"/>
        <w:gridCol w:w="992"/>
        <w:gridCol w:w="994"/>
        <w:gridCol w:w="3686"/>
      </w:tblGrid>
      <w:tr w:rsidR="00DB6F80" w:rsidRPr="00E40B45" w14:paraId="46507FA4" w14:textId="77777777" w:rsidTr="00F1608F">
        <w:trPr>
          <w:trHeight w:val="729"/>
        </w:trPr>
        <w:tc>
          <w:tcPr>
            <w:tcW w:w="564" w:type="pct"/>
            <w:vMerge w:val="restart"/>
            <w:tcBorders>
              <w:top w:val="single" w:sz="4" w:space="0" w:color="auto"/>
              <w:bottom w:val="single" w:sz="4" w:space="0" w:color="auto"/>
            </w:tcBorders>
            <w:shd w:val="clear" w:color="auto" w:fill="FFFFFF" w:themeFill="background1"/>
            <w:noWrap/>
            <w:vAlign w:val="center"/>
            <w:hideMark/>
          </w:tcPr>
          <w:p w14:paraId="4619CE7E"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Esquema</w:t>
            </w:r>
          </w:p>
        </w:tc>
        <w:tc>
          <w:tcPr>
            <w:tcW w:w="485" w:type="pct"/>
            <w:vMerge w:val="restart"/>
            <w:tcBorders>
              <w:top w:val="single" w:sz="4" w:space="0" w:color="auto"/>
              <w:bottom w:val="single" w:sz="4" w:space="0" w:color="auto"/>
            </w:tcBorders>
            <w:shd w:val="clear" w:color="auto" w:fill="FFFFFF" w:themeFill="background1"/>
            <w:noWrap/>
            <w:vAlign w:val="center"/>
            <w:hideMark/>
          </w:tcPr>
          <w:p w14:paraId="67138147"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Clúster</w:t>
            </w:r>
          </w:p>
        </w:tc>
        <w:tc>
          <w:tcPr>
            <w:tcW w:w="727" w:type="pct"/>
            <w:vMerge w:val="restart"/>
            <w:tcBorders>
              <w:top w:val="single" w:sz="4" w:space="0" w:color="auto"/>
              <w:bottom w:val="single" w:sz="4" w:space="0" w:color="auto"/>
            </w:tcBorders>
            <w:shd w:val="clear" w:color="auto" w:fill="FFFFFF" w:themeFill="background1"/>
            <w:noWrap/>
            <w:vAlign w:val="center"/>
            <w:hideMark/>
          </w:tcPr>
          <w:p w14:paraId="725361E6"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Total- demanda</w:t>
            </w:r>
          </w:p>
        </w:tc>
        <w:tc>
          <w:tcPr>
            <w:tcW w:w="564" w:type="pct"/>
            <w:vMerge w:val="restart"/>
            <w:tcBorders>
              <w:top w:val="single" w:sz="4" w:space="0" w:color="auto"/>
              <w:bottom w:val="single" w:sz="4" w:space="0" w:color="auto"/>
            </w:tcBorders>
            <w:shd w:val="clear" w:color="auto" w:fill="FFFFFF" w:themeFill="background1"/>
            <w:noWrap/>
            <w:vAlign w:val="center"/>
            <w:hideMark/>
          </w:tcPr>
          <w:p w14:paraId="03DF9DFC"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Lon centroide</w:t>
            </w:r>
          </w:p>
        </w:tc>
        <w:tc>
          <w:tcPr>
            <w:tcW w:w="565" w:type="pct"/>
            <w:vMerge w:val="restart"/>
            <w:tcBorders>
              <w:top w:val="single" w:sz="4" w:space="0" w:color="auto"/>
              <w:bottom w:val="single" w:sz="4" w:space="0" w:color="auto"/>
            </w:tcBorders>
            <w:shd w:val="clear" w:color="auto" w:fill="FFFFFF" w:themeFill="background1"/>
            <w:noWrap/>
            <w:vAlign w:val="center"/>
            <w:hideMark/>
          </w:tcPr>
          <w:p w14:paraId="34BC6F8A"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Lat centroide</w:t>
            </w:r>
          </w:p>
        </w:tc>
        <w:tc>
          <w:tcPr>
            <w:tcW w:w="2095" w:type="pct"/>
            <w:vMerge w:val="restart"/>
            <w:tcBorders>
              <w:top w:val="single" w:sz="4" w:space="0" w:color="auto"/>
              <w:bottom w:val="single" w:sz="4" w:space="0" w:color="auto"/>
            </w:tcBorders>
            <w:shd w:val="clear" w:color="auto" w:fill="FFFFFF" w:themeFill="background1"/>
            <w:noWrap/>
            <w:vAlign w:val="center"/>
            <w:hideMark/>
          </w:tcPr>
          <w:p w14:paraId="3C0FD44E" w14:textId="77777777" w:rsidR="00DB6F80" w:rsidRPr="00DB6F80" w:rsidRDefault="00DB6F80" w:rsidP="00DB6F80">
            <w:pPr>
              <w:pStyle w:val="TABLECONTENT"/>
              <w:framePr w:hSpace="0" w:wrap="auto" w:vAnchor="margin" w:hAnchor="text" w:xAlign="left" w:yAlign="inline"/>
              <w:suppressOverlap w:val="0"/>
              <w:jc w:val="center"/>
              <w:rPr>
                <w:b/>
                <w:bCs/>
                <w:lang w:val="es-CO"/>
              </w:rPr>
            </w:pPr>
            <w:r w:rsidRPr="00DB6F80">
              <w:rPr>
                <w:b/>
                <w:bCs/>
                <w:lang w:val="es-CO"/>
              </w:rPr>
              <w:t>Punto/ubicación de Referencia</w:t>
            </w:r>
          </w:p>
        </w:tc>
      </w:tr>
      <w:tr w:rsidR="00DB6F80" w:rsidRPr="00E40B45" w14:paraId="5253F8C7" w14:textId="77777777" w:rsidTr="00F1608F">
        <w:trPr>
          <w:trHeight w:val="729"/>
        </w:trPr>
        <w:tc>
          <w:tcPr>
            <w:tcW w:w="564" w:type="pct"/>
            <w:vMerge/>
            <w:tcBorders>
              <w:top w:val="nil"/>
              <w:bottom w:val="single" w:sz="4" w:space="0" w:color="auto"/>
            </w:tcBorders>
            <w:shd w:val="clear" w:color="auto" w:fill="FFFFFF" w:themeFill="background1"/>
            <w:vAlign w:val="center"/>
            <w:hideMark/>
          </w:tcPr>
          <w:p w14:paraId="193D7F1D"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485" w:type="pct"/>
            <w:vMerge/>
            <w:tcBorders>
              <w:top w:val="nil"/>
              <w:bottom w:val="single" w:sz="4" w:space="0" w:color="auto"/>
            </w:tcBorders>
            <w:shd w:val="clear" w:color="auto" w:fill="FFFFFF" w:themeFill="background1"/>
            <w:vAlign w:val="center"/>
            <w:hideMark/>
          </w:tcPr>
          <w:p w14:paraId="6742286A"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727" w:type="pct"/>
            <w:vMerge/>
            <w:tcBorders>
              <w:top w:val="nil"/>
              <w:bottom w:val="single" w:sz="4" w:space="0" w:color="auto"/>
            </w:tcBorders>
            <w:shd w:val="clear" w:color="auto" w:fill="FFFFFF" w:themeFill="background1"/>
            <w:vAlign w:val="center"/>
            <w:hideMark/>
          </w:tcPr>
          <w:p w14:paraId="70156324"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564" w:type="pct"/>
            <w:vMerge/>
            <w:tcBorders>
              <w:top w:val="nil"/>
              <w:bottom w:val="single" w:sz="4" w:space="0" w:color="auto"/>
            </w:tcBorders>
            <w:shd w:val="clear" w:color="auto" w:fill="FFFFFF" w:themeFill="background1"/>
            <w:vAlign w:val="center"/>
            <w:hideMark/>
          </w:tcPr>
          <w:p w14:paraId="7F8946D9"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565" w:type="pct"/>
            <w:vMerge/>
            <w:tcBorders>
              <w:top w:val="nil"/>
              <w:bottom w:val="single" w:sz="4" w:space="0" w:color="auto"/>
            </w:tcBorders>
            <w:shd w:val="clear" w:color="auto" w:fill="FFFFFF" w:themeFill="background1"/>
            <w:vAlign w:val="center"/>
            <w:hideMark/>
          </w:tcPr>
          <w:p w14:paraId="506FECE4"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2095" w:type="pct"/>
            <w:vMerge/>
            <w:tcBorders>
              <w:top w:val="nil"/>
              <w:bottom w:val="single" w:sz="4" w:space="0" w:color="auto"/>
            </w:tcBorders>
            <w:shd w:val="clear" w:color="auto" w:fill="FFFFFF" w:themeFill="background1"/>
            <w:vAlign w:val="center"/>
            <w:hideMark/>
          </w:tcPr>
          <w:p w14:paraId="70DFBC9E"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r>
      <w:tr w:rsidR="00DB6F80" w:rsidRPr="00E40B45" w14:paraId="52BBBDD3" w14:textId="77777777" w:rsidTr="004940E0">
        <w:trPr>
          <w:trHeight w:val="737"/>
        </w:trPr>
        <w:tc>
          <w:tcPr>
            <w:tcW w:w="564" w:type="pct"/>
            <w:vMerge w:val="restart"/>
            <w:tcBorders>
              <w:top w:val="single" w:sz="4" w:space="0" w:color="auto"/>
            </w:tcBorders>
            <w:shd w:val="clear" w:color="auto" w:fill="FFFFFF" w:themeFill="background1"/>
            <w:noWrap/>
            <w:vAlign w:val="center"/>
            <w:hideMark/>
          </w:tcPr>
          <w:p w14:paraId="7A7BBC09" w14:textId="77777777" w:rsidR="00DB6F80" w:rsidRPr="001A09B5" w:rsidRDefault="00DB6F80" w:rsidP="00DB6F80">
            <w:pPr>
              <w:pStyle w:val="TABLECONTENT"/>
              <w:framePr w:hSpace="0" w:wrap="auto" w:vAnchor="margin" w:hAnchor="text" w:xAlign="left" w:yAlign="inline"/>
              <w:suppressOverlap w:val="0"/>
              <w:jc w:val="center"/>
              <w:rPr>
                <w:b/>
                <w:bCs/>
                <w:lang w:val="es-CO"/>
              </w:rPr>
            </w:pPr>
            <w:r w:rsidRPr="001A09B5">
              <w:rPr>
                <w:b/>
                <w:bCs/>
                <w:lang w:val="es-CO"/>
              </w:rPr>
              <w:t>k=2</w:t>
            </w:r>
          </w:p>
        </w:tc>
        <w:tc>
          <w:tcPr>
            <w:tcW w:w="485" w:type="pct"/>
            <w:tcBorders>
              <w:top w:val="single" w:sz="4" w:space="0" w:color="auto"/>
            </w:tcBorders>
            <w:shd w:val="clear" w:color="auto" w:fill="FFFFFF" w:themeFill="background1"/>
            <w:noWrap/>
            <w:vAlign w:val="center"/>
            <w:hideMark/>
          </w:tcPr>
          <w:p w14:paraId="77E9ABFD"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1</w:t>
            </w:r>
          </w:p>
        </w:tc>
        <w:tc>
          <w:tcPr>
            <w:tcW w:w="727" w:type="pct"/>
            <w:tcBorders>
              <w:top w:val="single" w:sz="4" w:space="0" w:color="auto"/>
            </w:tcBorders>
            <w:shd w:val="clear" w:color="auto" w:fill="FFFFFF" w:themeFill="background1"/>
            <w:noWrap/>
            <w:vAlign w:val="center"/>
            <w:hideMark/>
          </w:tcPr>
          <w:p w14:paraId="5A77F987"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5885</w:t>
            </w:r>
          </w:p>
        </w:tc>
        <w:tc>
          <w:tcPr>
            <w:tcW w:w="564" w:type="pct"/>
            <w:tcBorders>
              <w:top w:val="single" w:sz="4" w:space="0" w:color="auto"/>
            </w:tcBorders>
            <w:shd w:val="clear" w:color="auto" w:fill="FFFFFF" w:themeFill="background1"/>
            <w:noWrap/>
            <w:vAlign w:val="center"/>
            <w:hideMark/>
          </w:tcPr>
          <w:p w14:paraId="47AC8A2E"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-73,122</w:t>
            </w:r>
          </w:p>
        </w:tc>
        <w:tc>
          <w:tcPr>
            <w:tcW w:w="565" w:type="pct"/>
            <w:tcBorders>
              <w:top w:val="single" w:sz="4" w:space="0" w:color="auto"/>
            </w:tcBorders>
            <w:shd w:val="clear" w:color="auto" w:fill="FFFFFF" w:themeFill="background1"/>
            <w:noWrap/>
            <w:vAlign w:val="center"/>
            <w:hideMark/>
          </w:tcPr>
          <w:p w14:paraId="413DF442"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7,099</w:t>
            </w:r>
          </w:p>
        </w:tc>
        <w:tc>
          <w:tcPr>
            <w:tcW w:w="2095" w:type="pct"/>
            <w:tcBorders>
              <w:top w:val="single" w:sz="4" w:space="0" w:color="auto"/>
            </w:tcBorders>
            <w:shd w:val="clear" w:color="auto" w:fill="FFFFFF" w:themeFill="background1"/>
            <w:noWrap/>
            <w:vAlign w:val="center"/>
            <w:hideMark/>
          </w:tcPr>
          <w:p w14:paraId="00D050E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Ubicado junto a la cancha Los Canelos, frente al Colegio Pilar, sede B.</w:t>
            </w:r>
          </w:p>
        </w:tc>
      </w:tr>
      <w:tr w:rsidR="00DB6F80" w:rsidRPr="00E40B45" w14:paraId="5764BF3E" w14:textId="77777777" w:rsidTr="004940E0">
        <w:trPr>
          <w:trHeight w:val="283"/>
        </w:trPr>
        <w:tc>
          <w:tcPr>
            <w:tcW w:w="564" w:type="pct"/>
            <w:vMerge/>
            <w:shd w:val="clear" w:color="auto" w:fill="FFFFFF" w:themeFill="background1"/>
            <w:vAlign w:val="center"/>
            <w:hideMark/>
          </w:tcPr>
          <w:p w14:paraId="076E2BB0" w14:textId="77777777" w:rsidR="00DB6F80" w:rsidRPr="001A09B5"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288EAA5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w:t>
            </w:r>
          </w:p>
        </w:tc>
        <w:tc>
          <w:tcPr>
            <w:tcW w:w="727" w:type="pct"/>
            <w:shd w:val="clear" w:color="auto" w:fill="FFFFFF" w:themeFill="background1"/>
            <w:noWrap/>
            <w:vAlign w:val="center"/>
            <w:hideMark/>
          </w:tcPr>
          <w:p w14:paraId="0428EC27"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6190</w:t>
            </w:r>
          </w:p>
        </w:tc>
        <w:tc>
          <w:tcPr>
            <w:tcW w:w="564" w:type="pct"/>
            <w:shd w:val="clear" w:color="auto" w:fill="FFFFFF" w:themeFill="background1"/>
            <w:noWrap/>
            <w:vAlign w:val="center"/>
            <w:hideMark/>
          </w:tcPr>
          <w:p w14:paraId="30F837E9"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-73,125</w:t>
            </w:r>
          </w:p>
        </w:tc>
        <w:tc>
          <w:tcPr>
            <w:tcW w:w="565" w:type="pct"/>
            <w:shd w:val="clear" w:color="auto" w:fill="FFFFFF" w:themeFill="background1"/>
            <w:noWrap/>
            <w:vAlign w:val="center"/>
            <w:hideMark/>
          </w:tcPr>
          <w:p w14:paraId="3D85B1C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7,14</w:t>
            </w:r>
          </w:p>
        </w:tc>
        <w:tc>
          <w:tcPr>
            <w:tcW w:w="2095" w:type="pct"/>
            <w:shd w:val="clear" w:color="auto" w:fill="FFFFFF" w:themeFill="background1"/>
            <w:noWrap/>
            <w:vAlign w:val="center"/>
            <w:hideMark/>
          </w:tcPr>
          <w:p w14:paraId="4D01C16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Frente al edificio Comuneros Real, cerca de la portería de la Calle 25 de la UIS.</w:t>
            </w:r>
          </w:p>
        </w:tc>
      </w:tr>
      <w:tr w:rsidR="00DB6F80" w:rsidRPr="00E40B45" w14:paraId="4FE01D01" w14:textId="77777777" w:rsidTr="004940E0">
        <w:trPr>
          <w:trHeight w:val="330"/>
        </w:trPr>
        <w:tc>
          <w:tcPr>
            <w:tcW w:w="564" w:type="pct"/>
            <w:vMerge w:val="restart"/>
            <w:shd w:val="clear" w:color="auto" w:fill="FFFFFF" w:themeFill="background1"/>
            <w:noWrap/>
            <w:vAlign w:val="center"/>
            <w:hideMark/>
          </w:tcPr>
          <w:p w14:paraId="4F0983EA" w14:textId="77777777" w:rsidR="00DB6F80" w:rsidRPr="001A09B5" w:rsidRDefault="00DB6F80" w:rsidP="00DB6F80">
            <w:pPr>
              <w:pStyle w:val="TABLECONTENT"/>
              <w:framePr w:hSpace="0" w:wrap="auto" w:vAnchor="margin" w:hAnchor="text" w:xAlign="left" w:yAlign="inline"/>
              <w:suppressOverlap w:val="0"/>
              <w:jc w:val="center"/>
              <w:rPr>
                <w:b/>
                <w:bCs/>
                <w:lang w:val="es-CO"/>
              </w:rPr>
            </w:pPr>
            <w:r w:rsidRPr="001A09B5">
              <w:rPr>
                <w:b/>
                <w:bCs/>
                <w:lang w:val="es-CO"/>
              </w:rPr>
              <w:t>k=3</w:t>
            </w:r>
          </w:p>
        </w:tc>
        <w:tc>
          <w:tcPr>
            <w:tcW w:w="485" w:type="pct"/>
            <w:shd w:val="clear" w:color="auto" w:fill="FFFFFF" w:themeFill="background1"/>
            <w:noWrap/>
            <w:vAlign w:val="center"/>
            <w:hideMark/>
          </w:tcPr>
          <w:p w14:paraId="3B169268"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1</w:t>
            </w:r>
          </w:p>
        </w:tc>
        <w:tc>
          <w:tcPr>
            <w:tcW w:w="727" w:type="pct"/>
            <w:shd w:val="clear" w:color="auto" w:fill="FFFFFF" w:themeFill="background1"/>
            <w:noWrap/>
            <w:vAlign w:val="center"/>
            <w:hideMark/>
          </w:tcPr>
          <w:p w14:paraId="6BFB76EC"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3705</w:t>
            </w:r>
          </w:p>
        </w:tc>
        <w:tc>
          <w:tcPr>
            <w:tcW w:w="564" w:type="pct"/>
            <w:shd w:val="clear" w:color="auto" w:fill="FFFFFF" w:themeFill="background1"/>
            <w:noWrap/>
            <w:vAlign w:val="center"/>
            <w:hideMark/>
          </w:tcPr>
          <w:p w14:paraId="290E1F17"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-73,125</w:t>
            </w:r>
          </w:p>
        </w:tc>
        <w:tc>
          <w:tcPr>
            <w:tcW w:w="565" w:type="pct"/>
            <w:shd w:val="clear" w:color="auto" w:fill="FFFFFF" w:themeFill="background1"/>
            <w:noWrap/>
            <w:vAlign w:val="center"/>
            <w:hideMark/>
          </w:tcPr>
          <w:p w14:paraId="1DCB89CD"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7,093</w:t>
            </w:r>
          </w:p>
        </w:tc>
        <w:tc>
          <w:tcPr>
            <w:tcW w:w="2095" w:type="pct"/>
            <w:shd w:val="clear" w:color="auto" w:fill="FFFFFF" w:themeFill="background1"/>
            <w:noWrap/>
            <w:vAlign w:val="center"/>
            <w:hideMark/>
          </w:tcPr>
          <w:p w14:paraId="24724C2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Sobre la calle 68</w:t>
            </w:r>
          </w:p>
        </w:tc>
      </w:tr>
      <w:tr w:rsidR="00DB6F80" w:rsidRPr="00E40B45" w14:paraId="305D6DDD" w14:textId="77777777" w:rsidTr="004940E0">
        <w:trPr>
          <w:trHeight w:val="315"/>
        </w:trPr>
        <w:tc>
          <w:tcPr>
            <w:tcW w:w="564" w:type="pct"/>
            <w:vMerge/>
            <w:shd w:val="clear" w:color="auto" w:fill="FFFFFF" w:themeFill="background1"/>
            <w:vAlign w:val="center"/>
            <w:hideMark/>
          </w:tcPr>
          <w:p w14:paraId="63C588FA" w14:textId="77777777" w:rsidR="00DB6F80" w:rsidRPr="001A09B5"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2C24C1F4"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w:t>
            </w:r>
          </w:p>
        </w:tc>
        <w:tc>
          <w:tcPr>
            <w:tcW w:w="727" w:type="pct"/>
            <w:shd w:val="clear" w:color="auto" w:fill="FFFFFF" w:themeFill="background1"/>
            <w:noWrap/>
            <w:vAlign w:val="center"/>
            <w:hideMark/>
          </w:tcPr>
          <w:p w14:paraId="19316D08"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4702</w:t>
            </w:r>
          </w:p>
        </w:tc>
        <w:tc>
          <w:tcPr>
            <w:tcW w:w="564" w:type="pct"/>
            <w:shd w:val="clear" w:color="auto" w:fill="FFFFFF" w:themeFill="background1"/>
            <w:noWrap/>
            <w:vAlign w:val="center"/>
            <w:hideMark/>
          </w:tcPr>
          <w:p w14:paraId="1830990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-73,117</w:t>
            </w:r>
          </w:p>
        </w:tc>
        <w:tc>
          <w:tcPr>
            <w:tcW w:w="565" w:type="pct"/>
            <w:shd w:val="clear" w:color="auto" w:fill="FFFFFF" w:themeFill="background1"/>
            <w:noWrap/>
            <w:vAlign w:val="center"/>
            <w:hideMark/>
          </w:tcPr>
          <w:p w14:paraId="1B6AB80C"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7,12</w:t>
            </w:r>
          </w:p>
        </w:tc>
        <w:tc>
          <w:tcPr>
            <w:tcW w:w="2095" w:type="pct"/>
            <w:shd w:val="clear" w:color="auto" w:fill="FFFFFF" w:themeFill="background1"/>
            <w:noWrap/>
            <w:vAlign w:val="center"/>
            <w:hideMark/>
          </w:tcPr>
          <w:p w14:paraId="6823616C"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Museo de arte moderno de Bucaramanga</w:t>
            </w:r>
          </w:p>
        </w:tc>
      </w:tr>
      <w:tr w:rsidR="00DB6F80" w:rsidRPr="00E40B45" w14:paraId="603D5800" w14:textId="77777777" w:rsidTr="004940E0">
        <w:trPr>
          <w:trHeight w:val="330"/>
        </w:trPr>
        <w:tc>
          <w:tcPr>
            <w:tcW w:w="564" w:type="pct"/>
            <w:vMerge/>
            <w:shd w:val="clear" w:color="auto" w:fill="FFFFFF" w:themeFill="background1"/>
            <w:vAlign w:val="center"/>
            <w:hideMark/>
          </w:tcPr>
          <w:p w14:paraId="0B4C73E8" w14:textId="77777777" w:rsidR="00DB6F80" w:rsidRPr="001A09B5"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0F073CBD"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3</w:t>
            </w:r>
          </w:p>
        </w:tc>
        <w:tc>
          <w:tcPr>
            <w:tcW w:w="727" w:type="pct"/>
            <w:shd w:val="clear" w:color="auto" w:fill="FFFFFF" w:themeFill="background1"/>
            <w:noWrap/>
            <w:vAlign w:val="center"/>
            <w:hideMark/>
          </w:tcPr>
          <w:p w14:paraId="23B1CDA4"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3668</w:t>
            </w:r>
          </w:p>
        </w:tc>
        <w:tc>
          <w:tcPr>
            <w:tcW w:w="564" w:type="pct"/>
            <w:shd w:val="clear" w:color="auto" w:fill="FFFFFF" w:themeFill="background1"/>
            <w:noWrap/>
            <w:vAlign w:val="center"/>
            <w:hideMark/>
          </w:tcPr>
          <w:p w14:paraId="772AE225"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-73,131</w:t>
            </w:r>
          </w:p>
        </w:tc>
        <w:tc>
          <w:tcPr>
            <w:tcW w:w="565" w:type="pct"/>
            <w:shd w:val="clear" w:color="auto" w:fill="FFFFFF" w:themeFill="background1"/>
            <w:noWrap/>
            <w:vAlign w:val="center"/>
            <w:hideMark/>
          </w:tcPr>
          <w:p w14:paraId="43328FEA"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7,147</w:t>
            </w:r>
          </w:p>
        </w:tc>
        <w:tc>
          <w:tcPr>
            <w:tcW w:w="2095" w:type="pct"/>
            <w:shd w:val="clear" w:color="auto" w:fill="FFFFFF" w:themeFill="background1"/>
            <w:noWrap/>
            <w:vAlign w:val="center"/>
            <w:hideMark/>
          </w:tcPr>
          <w:p w14:paraId="05C7E232"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Frente Metrolínea portal del norte</w:t>
            </w:r>
          </w:p>
        </w:tc>
      </w:tr>
      <w:tr w:rsidR="00DB6F80" w:rsidRPr="00E40B45" w14:paraId="2069722C" w14:textId="77777777" w:rsidTr="004940E0">
        <w:trPr>
          <w:trHeight w:val="330"/>
        </w:trPr>
        <w:tc>
          <w:tcPr>
            <w:tcW w:w="564" w:type="pct"/>
            <w:vMerge w:val="restart"/>
            <w:shd w:val="clear" w:color="auto" w:fill="FFFFFF" w:themeFill="background1"/>
            <w:noWrap/>
            <w:vAlign w:val="center"/>
            <w:hideMark/>
          </w:tcPr>
          <w:p w14:paraId="2C65EEEA" w14:textId="77777777" w:rsidR="00DB6F80" w:rsidRPr="001A09B5" w:rsidRDefault="00DB6F80" w:rsidP="00DB6F80">
            <w:pPr>
              <w:pStyle w:val="TABLECONTENT"/>
              <w:framePr w:hSpace="0" w:wrap="auto" w:vAnchor="margin" w:hAnchor="text" w:xAlign="left" w:yAlign="inline"/>
              <w:suppressOverlap w:val="0"/>
              <w:jc w:val="center"/>
              <w:rPr>
                <w:b/>
                <w:bCs/>
                <w:lang w:val="es-CO"/>
              </w:rPr>
            </w:pPr>
            <w:r w:rsidRPr="001A09B5">
              <w:rPr>
                <w:b/>
                <w:bCs/>
                <w:lang w:val="es-CO"/>
              </w:rPr>
              <w:t>k=5</w:t>
            </w:r>
          </w:p>
        </w:tc>
        <w:tc>
          <w:tcPr>
            <w:tcW w:w="485" w:type="pct"/>
            <w:shd w:val="clear" w:color="auto" w:fill="FFFFFF" w:themeFill="background1"/>
            <w:noWrap/>
            <w:vAlign w:val="center"/>
            <w:hideMark/>
          </w:tcPr>
          <w:p w14:paraId="5D8B4499"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1</w:t>
            </w:r>
          </w:p>
        </w:tc>
        <w:tc>
          <w:tcPr>
            <w:tcW w:w="727" w:type="pct"/>
            <w:shd w:val="clear" w:color="auto" w:fill="FFFFFF" w:themeFill="background1"/>
            <w:noWrap/>
            <w:vAlign w:val="center"/>
            <w:hideMark/>
          </w:tcPr>
          <w:p w14:paraId="42D3874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2167</w:t>
            </w:r>
          </w:p>
        </w:tc>
        <w:tc>
          <w:tcPr>
            <w:tcW w:w="564" w:type="pct"/>
            <w:shd w:val="clear" w:color="auto" w:fill="FFFFFF" w:themeFill="background1"/>
            <w:noWrap/>
            <w:vAlign w:val="center"/>
            <w:hideMark/>
          </w:tcPr>
          <w:p w14:paraId="47F8DB79"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-73,135</w:t>
            </w:r>
          </w:p>
        </w:tc>
        <w:tc>
          <w:tcPr>
            <w:tcW w:w="565" w:type="pct"/>
            <w:shd w:val="clear" w:color="auto" w:fill="FFFFFF" w:themeFill="background1"/>
            <w:noWrap/>
            <w:vAlign w:val="center"/>
            <w:hideMark/>
          </w:tcPr>
          <w:p w14:paraId="31088B6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7,111</w:t>
            </w:r>
          </w:p>
        </w:tc>
        <w:tc>
          <w:tcPr>
            <w:tcW w:w="2095" w:type="pct"/>
            <w:shd w:val="clear" w:color="auto" w:fill="FFFFFF" w:themeFill="background1"/>
            <w:noWrap/>
            <w:vAlign w:val="center"/>
            <w:hideMark/>
          </w:tcPr>
          <w:p w14:paraId="2FD884BF"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Club deportivo la 45</w:t>
            </w:r>
          </w:p>
        </w:tc>
      </w:tr>
      <w:tr w:rsidR="00DB6F80" w:rsidRPr="00E40B45" w14:paraId="3A9EE7ED" w14:textId="77777777" w:rsidTr="004940E0">
        <w:trPr>
          <w:trHeight w:val="227"/>
        </w:trPr>
        <w:tc>
          <w:tcPr>
            <w:tcW w:w="564" w:type="pct"/>
            <w:vMerge/>
            <w:shd w:val="clear" w:color="auto" w:fill="FFFFFF" w:themeFill="background1"/>
            <w:vAlign w:val="center"/>
            <w:hideMark/>
          </w:tcPr>
          <w:p w14:paraId="084DD336"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2CAC6E3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w:t>
            </w:r>
          </w:p>
        </w:tc>
        <w:tc>
          <w:tcPr>
            <w:tcW w:w="727" w:type="pct"/>
            <w:shd w:val="clear" w:color="auto" w:fill="FFFFFF" w:themeFill="background1"/>
            <w:noWrap/>
            <w:vAlign w:val="center"/>
            <w:hideMark/>
          </w:tcPr>
          <w:p w14:paraId="6E0C5B1D"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3217</w:t>
            </w:r>
          </w:p>
        </w:tc>
        <w:tc>
          <w:tcPr>
            <w:tcW w:w="564" w:type="pct"/>
            <w:shd w:val="clear" w:color="auto" w:fill="FFFFFF" w:themeFill="background1"/>
            <w:noWrap/>
            <w:vAlign w:val="center"/>
            <w:hideMark/>
          </w:tcPr>
          <w:p w14:paraId="6B105767"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-73,132</w:t>
            </w:r>
          </w:p>
        </w:tc>
        <w:tc>
          <w:tcPr>
            <w:tcW w:w="565" w:type="pct"/>
            <w:shd w:val="clear" w:color="auto" w:fill="FFFFFF" w:themeFill="background1"/>
            <w:noWrap/>
            <w:vAlign w:val="center"/>
            <w:hideMark/>
          </w:tcPr>
          <w:p w14:paraId="6CF5EB99"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7,149</w:t>
            </w:r>
          </w:p>
        </w:tc>
        <w:tc>
          <w:tcPr>
            <w:tcW w:w="2095" w:type="pct"/>
            <w:shd w:val="clear" w:color="auto" w:fill="FFFFFF" w:themeFill="background1"/>
            <w:noWrap/>
            <w:vAlign w:val="center"/>
            <w:hideMark/>
          </w:tcPr>
          <w:p w14:paraId="315C3D0D"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Iglesia de Jesús el Cristo, visión y Santidad</w:t>
            </w:r>
          </w:p>
        </w:tc>
      </w:tr>
      <w:tr w:rsidR="00DB6F80" w:rsidRPr="00E40B45" w14:paraId="14CA7D5E" w14:textId="77777777" w:rsidTr="004940E0">
        <w:trPr>
          <w:trHeight w:val="227"/>
        </w:trPr>
        <w:tc>
          <w:tcPr>
            <w:tcW w:w="564" w:type="pct"/>
            <w:vMerge/>
            <w:shd w:val="clear" w:color="auto" w:fill="FFFFFF" w:themeFill="background1"/>
            <w:vAlign w:val="center"/>
            <w:hideMark/>
          </w:tcPr>
          <w:p w14:paraId="7D343E85"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584F62D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3</w:t>
            </w:r>
          </w:p>
        </w:tc>
        <w:tc>
          <w:tcPr>
            <w:tcW w:w="727" w:type="pct"/>
            <w:shd w:val="clear" w:color="auto" w:fill="FFFFFF" w:themeFill="background1"/>
            <w:noWrap/>
            <w:vAlign w:val="center"/>
            <w:hideMark/>
          </w:tcPr>
          <w:p w14:paraId="788F8295"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2197</w:t>
            </w:r>
          </w:p>
        </w:tc>
        <w:tc>
          <w:tcPr>
            <w:tcW w:w="564" w:type="pct"/>
            <w:shd w:val="clear" w:color="auto" w:fill="FFFFFF" w:themeFill="background1"/>
            <w:noWrap/>
            <w:vAlign w:val="center"/>
            <w:hideMark/>
          </w:tcPr>
          <w:p w14:paraId="34917BFA"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-73,115</w:t>
            </w:r>
          </w:p>
        </w:tc>
        <w:tc>
          <w:tcPr>
            <w:tcW w:w="565" w:type="pct"/>
            <w:shd w:val="clear" w:color="auto" w:fill="FFFFFF" w:themeFill="background1"/>
            <w:noWrap/>
            <w:vAlign w:val="center"/>
            <w:hideMark/>
          </w:tcPr>
          <w:p w14:paraId="4C4DE463"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7,102</w:t>
            </w:r>
          </w:p>
        </w:tc>
        <w:tc>
          <w:tcPr>
            <w:tcW w:w="2095" w:type="pct"/>
            <w:shd w:val="clear" w:color="auto" w:fill="FFFFFF" w:themeFill="background1"/>
            <w:noWrap/>
            <w:vAlign w:val="center"/>
            <w:hideMark/>
          </w:tcPr>
          <w:p w14:paraId="633F7724"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Sobre la carrera 23, cerca del Colegio La Salle.</w:t>
            </w:r>
          </w:p>
        </w:tc>
      </w:tr>
      <w:tr w:rsidR="00DB6F80" w:rsidRPr="00E40B45" w14:paraId="5026C043" w14:textId="77777777" w:rsidTr="004940E0">
        <w:trPr>
          <w:trHeight w:val="283"/>
        </w:trPr>
        <w:tc>
          <w:tcPr>
            <w:tcW w:w="564" w:type="pct"/>
            <w:vMerge/>
            <w:shd w:val="clear" w:color="auto" w:fill="FFFFFF" w:themeFill="background1"/>
            <w:vAlign w:val="center"/>
            <w:hideMark/>
          </w:tcPr>
          <w:p w14:paraId="37383818"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02CCCC5C"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4</w:t>
            </w:r>
          </w:p>
        </w:tc>
        <w:tc>
          <w:tcPr>
            <w:tcW w:w="727" w:type="pct"/>
            <w:shd w:val="clear" w:color="auto" w:fill="FFFFFF" w:themeFill="background1"/>
            <w:noWrap/>
            <w:vAlign w:val="center"/>
            <w:hideMark/>
          </w:tcPr>
          <w:p w14:paraId="05C89E85"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2863</w:t>
            </w:r>
          </w:p>
        </w:tc>
        <w:tc>
          <w:tcPr>
            <w:tcW w:w="564" w:type="pct"/>
            <w:shd w:val="clear" w:color="auto" w:fill="FFFFFF" w:themeFill="background1"/>
            <w:noWrap/>
            <w:vAlign w:val="center"/>
            <w:hideMark/>
          </w:tcPr>
          <w:p w14:paraId="7C761787"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-73,113</w:t>
            </w:r>
          </w:p>
        </w:tc>
        <w:tc>
          <w:tcPr>
            <w:tcW w:w="565" w:type="pct"/>
            <w:shd w:val="clear" w:color="auto" w:fill="FFFFFF" w:themeFill="background1"/>
            <w:noWrap/>
            <w:vAlign w:val="center"/>
            <w:hideMark/>
          </w:tcPr>
          <w:p w14:paraId="59718440"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7,129</w:t>
            </w:r>
          </w:p>
        </w:tc>
        <w:tc>
          <w:tcPr>
            <w:tcW w:w="2095" w:type="pct"/>
            <w:shd w:val="clear" w:color="auto" w:fill="FFFFFF" w:themeFill="background1"/>
            <w:noWrap/>
            <w:vAlign w:val="center"/>
            <w:hideMark/>
          </w:tcPr>
          <w:p w14:paraId="72EB83A8"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Universidad Corporativa de Colombia</w:t>
            </w:r>
          </w:p>
        </w:tc>
      </w:tr>
      <w:tr w:rsidR="00DB6F80" w:rsidRPr="00E40B45" w14:paraId="7366003B" w14:textId="77777777" w:rsidTr="004940E0">
        <w:trPr>
          <w:trHeight w:val="64"/>
        </w:trPr>
        <w:tc>
          <w:tcPr>
            <w:tcW w:w="564" w:type="pct"/>
            <w:vMerge/>
            <w:shd w:val="clear" w:color="auto" w:fill="FFFFFF" w:themeFill="background1"/>
            <w:vAlign w:val="center"/>
            <w:hideMark/>
          </w:tcPr>
          <w:p w14:paraId="79AAAA78" w14:textId="77777777" w:rsidR="00DB6F80" w:rsidRPr="00DB6F80" w:rsidRDefault="00DB6F80" w:rsidP="00DB6F80">
            <w:pPr>
              <w:pStyle w:val="TABLECONTENT"/>
              <w:framePr w:hSpace="0" w:wrap="auto" w:vAnchor="margin" w:hAnchor="text" w:xAlign="left" w:yAlign="inline"/>
              <w:suppressOverlap w:val="0"/>
              <w:jc w:val="center"/>
              <w:rPr>
                <w:b/>
                <w:bCs/>
                <w:lang w:val="es-CO"/>
              </w:rPr>
            </w:pPr>
          </w:p>
        </w:tc>
        <w:tc>
          <w:tcPr>
            <w:tcW w:w="485" w:type="pct"/>
            <w:shd w:val="clear" w:color="auto" w:fill="FFFFFF" w:themeFill="background1"/>
            <w:noWrap/>
            <w:vAlign w:val="center"/>
            <w:hideMark/>
          </w:tcPr>
          <w:p w14:paraId="235ABF8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5</w:t>
            </w:r>
          </w:p>
        </w:tc>
        <w:tc>
          <w:tcPr>
            <w:tcW w:w="727" w:type="pct"/>
            <w:shd w:val="clear" w:color="auto" w:fill="FFFFFF" w:themeFill="background1"/>
            <w:noWrap/>
            <w:vAlign w:val="center"/>
            <w:hideMark/>
          </w:tcPr>
          <w:p w14:paraId="6B7229F4"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1631</w:t>
            </w:r>
          </w:p>
        </w:tc>
        <w:tc>
          <w:tcPr>
            <w:tcW w:w="564" w:type="pct"/>
            <w:shd w:val="clear" w:color="auto" w:fill="FFFFFF" w:themeFill="background1"/>
            <w:noWrap/>
            <w:vAlign w:val="center"/>
            <w:hideMark/>
          </w:tcPr>
          <w:p w14:paraId="15C07146"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-73,123</w:t>
            </w:r>
          </w:p>
        </w:tc>
        <w:tc>
          <w:tcPr>
            <w:tcW w:w="565" w:type="pct"/>
            <w:shd w:val="clear" w:color="auto" w:fill="FFFFFF" w:themeFill="background1"/>
            <w:noWrap/>
            <w:vAlign w:val="center"/>
            <w:hideMark/>
          </w:tcPr>
          <w:p w14:paraId="12C6592F"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7,084</w:t>
            </w:r>
          </w:p>
        </w:tc>
        <w:tc>
          <w:tcPr>
            <w:tcW w:w="2095" w:type="pct"/>
            <w:shd w:val="clear" w:color="auto" w:fill="FFFFFF" w:themeFill="background1"/>
            <w:noWrap/>
            <w:vAlign w:val="center"/>
            <w:hideMark/>
          </w:tcPr>
          <w:p w14:paraId="5E580FE0" w14:textId="77777777" w:rsidR="00DB6F80" w:rsidRPr="001A09B5" w:rsidRDefault="00DB6F80" w:rsidP="00DB6F80">
            <w:pPr>
              <w:pStyle w:val="TABLECONTENT"/>
              <w:framePr w:hSpace="0" w:wrap="auto" w:vAnchor="margin" w:hAnchor="text" w:xAlign="left" w:yAlign="inline"/>
              <w:suppressOverlap w:val="0"/>
              <w:jc w:val="center"/>
              <w:rPr>
                <w:lang w:val="es-CO"/>
              </w:rPr>
            </w:pPr>
            <w:r w:rsidRPr="001A09B5">
              <w:rPr>
                <w:lang w:val="es-CO"/>
              </w:rPr>
              <w:t>Colegio Adventista Libertad</w:t>
            </w:r>
          </w:p>
        </w:tc>
      </w:tr>
    </w:tbl>
    <w:p w14:paraId="37A84A8E" w14:textId="77777777" w:rsidR="00CA704E" w:rsidRPr="00FA1EB5" w:rsidRDefault="00CA704E" w:rsidP="00CA704E">
      <w:pPr>
        <w:pStyle w:val="BODY0"/>
        <w:ind w:right="824"/>
      </w:pPr>
    </w:p>
    <w:p w14:paraId="09C47506" w14:textId="5219F7FF" w:rsidR="00FA1EB5" w:rsidRPr="00FA1EB5" w:rsidRDefault="00FA1EB5" w:rsidP="00997772">
      <w:pPr>
        <w:pStyle w:val="HEADING2"/>
      </w:pPr>
      <w:r>
        <w:t xml:space="preserve">4.4 </w:t>
      </w:r>
      <w:r w:rsidRPr="00FA1EB5">
        <w:t>Desempeño en términos de cobertura</w:t>
      </w:r>
    </w:p>
    <w:p w14:paraId="5B067EC5" w14:textId="44518E5D" w:rsidR="00997772" w:rsidRDefault="00997772" w:rsidP="00997772">
      <w:pPr>
        <w:pStyle w:val="BODY0"/>
        <w:ind w:right="824"/>
      </w:pPr>
      <w:r>
        <w:t xml:space="preserve">Una vez localizados los CMT, se evalúa si la ubicación obtenida garantiza efectivamente la atención de la demanda potencial asignada. La existencia de un único CMT por clúster no implica que toda la población del clúster pueda ser atendida, ya que la cobertura está condicionada por restricciones espaciales y de accesibilidad. Para este fin, se define un radio de cobertura por clúster y se clasifica cada barrio como cubierto o no cubierto según si su centroide se ubica dentro del radio del CMT de su respectivo clúster; </w:t>
      </w:r>
      <w:r>
        <w:lastRenderedPageBreak/>
        <w:t>estos resultados</w:t>
      </w:r>
      <w:r w:rsidR="0040794B">
        <w:t xml:space="preserve"> (ver Tabla. 5)</w:t>
      </w:r>
      <w:r>
        <w:t>. La Fig</w:t>
      </w:r>
      <w:r w:rsidR="00C24313">
        <w:t>. 4</w:t>
      </w:r>
      <w:r>
        <w:t xml:space="preserve"> muestra el esquema de localización con los radios trazados, lo que permite identificar simultáneamente el patrón espacial de atención y las zonas donde persisten brechas de cobertura.</w:t>
      </w:r>
    </w:p>
    <w:p w14:paraId="2722E1F7" w14:textId="0A6477DB" w:rsidR="009C2CEE" w:rsidRDefault="009C2CEE" w:rsidP="009C2CEE">
      <w:pPr>
        <w:pStyle w:val="Figure"/>
        <w:spacing w:after="0"/>
      </w:pPr>
      <w:r w:rsidRPr="00FC3173">
        <w:t>Tabl</w:t>
      </w:r>
      <w:r>
        <w:t>a</w:t>
      </w:r>
      <w:r w:rsidRPr="00FC3173">
        <w:t xml:space="preserve"> </w:t>
      </w:r>
      <w:r>
        <w:t>5</w:t>
      </w:r>
      <w:r w:rsidRPr="00FC3173">
        <w:t xml:space="preserve">. </w:t>
      </w:r>
      <w:r w:rsidR="00303FB3" w:rsidRPr="00303FB3">
        <w:t>Evaluación de cobertura para los esquemas de localización.</w:t>
      </w:r>
    </w:p>
    <w:tbl>
      <w:tblPr>
        <w:tblStyle w:val="Tablaconcuadrcula"/>
        <w:tblW w:w="8931" w:type="dxa"/>
        <w:jc w:val="center"/>
        <w:tblBorders>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242"/>
        <w:gridCol w:w="2919"/>
        <w:gridCol w:w="1797"/>
        <w:gridCol w:w="3021"/>
      </w:tblGrid>
      <w:tr w:rsidR="00CD1F67" w:rsidRPr="00D007FA" w14:paraId="78A6650B" w14:textId="77777777" w:rsidTr="00CD1F67">
        <w:trPr>
          <w:trHeight w:val="20"/>
          <w:jc w:val="center"/>
        </w:trPr>
        <w:tc>
          <w:tcPr>
            <w:tcW w:w="1226" w:type="dxa"/>
            <w:tcBorders>
              <w:top w:val="single" w:sz="4" w:space="0" w:color="auto"/>
              <w:bottom w:val="single" w:sz="4" w:space="0" w:color="auto"/>
            </w:tcBorders>
            <w:noWrap/>
            <w:vAlign w:val="center"/>
            <w:hideMark/>
          </w:tcPr>
          <w:p w14:paraId="4EB4AFED" w14:textId="0D061F80"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Esquema</w:t>
            </w:r>
          </w:p>
        </w:tc>
        <w:tc>
          <w:tcPr>
            <w:tcW w:w="2903" w:type="dxa"/>
            <w:tcBorders>
              <w:top w:val="single" w:sz="4" w:space="0" w:color="auto"/>
              <w:bottom w:val="single" w:sz="4" w:space="0" w:color="auto"/>
            </w:tcBorders>
            <w:noWrap/>
            <w:vAlign w:val="center"/>
            <w:hideMark/>
          </w:tcPr>
          <w:p w14:paraId="04CDF895" w14:textId="1311C326"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Clúster</w:t>
            </w:r>
          </w:p>
        </w:tc>
        <w:tc>
          <w:tcPr>
            <w:tcW w:w="1797" w:type="dxa"/>
            <w:tcBorders>
              <w:top w:val="single" w:sz="4" w:space="0" w:color="auto"/>
              <w:bottom w:val="single" w:sz="4" w:space="0" w:color="auto"/>
            </w:tcBorders>
            <w:vAlign w:val="center"/>
          </w:tcPr>
          <w:p w14:paraId="6CC62BAA" w14:textId="3E4BAC3A"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Radio</w:t>
            </w:r>
            <w:r w:rsidR="00F1608F" w:rsidRPr="00F1608F">
              <w:rPr>
                <w:b/>
                <w:bCs/>
                <w:lang w:val="es-CO"/>
              </w:rPr>
              <w:t xml:space="preserve"> (m)</w:t>
            </w:r>
          </w:p>
        </w:tc>
        <w:tc>
          <w:tcPr>
            <w:tcW w:w="3005" w:type="dxa"/>
            <w:tcBorders>
              <w:top w:val="single" w:sz="4" w:space="0" w:color="auto"/>
              <w:bottom w:val="single" w:sz="4" w:space="0" w:color="auto"/>
            </w:tcBorders>
            <w:noWrap/>
            <w:vAlign w:val="center"/>
            <w:hideMark/>
          </w:tcPr>
          <w:p w14:paraId="09861A2A" w14:textId="3DD4021D"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 cobertura</w:t>
            </w:r>
          </w:p>
        </w:tc>
      </w:tr>
      <w:tr w:rsidR="00F1608F" w:rsidRPr="00D007FA" w14:paraId="0E4C3E21" w14:textId="77777777" w:rsidTr="00CD1F67">
        <w:trPr>
          <w:trHeight w:val="20"/>
          <w:jc w:val="center"/>
        </w:trPr>
        <w:tc>
          <w:tcPr>
            <w:tcW w:w="1226" w:type="dxa"/>
            <w:vMerge w:val="restart"/>
            <w:tcBorders>
              <w:top w:val="single" w:sz="4" w:space="0" w:color="auto"/>
              <w:bottom w:val="single" w:sz="4" w:space="0" w:color="auto"/>
            </w:tcBorders>
            <w:noWrap/>
            <w:vAlign w:val="center"/>
            <w:hideMark/>
          </w:tcPr>
          <w:p w14:paraId="227F4225" w14:textId="0B518096"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K=2</w:t>
            </w:r>
          </w:p>
        </w:tc>
        <w:tc>
          <w:tcPr>
            <w:tcW w:w="2903" w:type="dxa"/>
            <w:tcBorders>
              <w:top w:val="single" w:sz="4" w:space="0" w:color="auto"/>
            </w:tcBorders>
            <w:noWrap/>
            <w:vAlign w:val="center"/>
            <w:hideMark/>
          </w:tcPr>
          <w:p w14:paraId="071955B2"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w:t>
            </w:r>
          </w:p>
        </w:tc>
        <w:tc>
          <w:tcPr>
            <w:tcW w:w="1797" w:type="dxa"/>
            <w:tcBorders>
              <w:top w:val="single" w:sz="4" w:space="0" w:color="auto"/>
            </w:tcBorders>
            <w:vAlign w:val="center"/>
          </w:tcPr>
          <w:p w14:paraId="71F92F61"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2167,96875</w:t>
            </w:r>
          </w:p>
        </w:tc>
        <w:tc>
          <w:tcPr>
            <w:tcW w:w="3005" w:type="dxa"/>
            <w:tcBorders>
              <w:top w:val="single" w:sz="4" w:space="0" w:color="auto"/>
            </w:tcBorders>
            <w:noWrap/>
            <w:vAlign w:val="center"/>
            <w:hideMark/>
          </w:tcPr>
          <w:p w14:paraId="7F9B9266"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73,917%</w:t>
            </w:r>
          </w:p>
        </w:tc>
      </w:tr>
      <w:tr w:rsidR="00F1608F" w:rsidRPr="00D007FA" w14:paraId="4600A4DC" w14:textId="77777777" w:rsidTr="00CD1F67">
        <w:trPr>
          <w:trHeight w:val="20"/>
          <w:jc w:val="center"/>
        </w:trPr>
        <w:tc>
          <w:tcPr>
            <w:tcW w:w="1226" w:type="dxa"/>
            <w:vMerge/>
            <w:tcBorders>
              <w:top w:val="nil"/>
              <w:bottom w:val="single" w:sz="4" w:space="0" w:color="auto"/>
            </w:tcBorders>
            <w:vAlign w:val="center"/>
            <w:hideMark/>
          </w:tcPr>
          <w:p w14:paraId="1DF84132" w14:textId="77777777" w:rsidR="00F1608F" w:rsidRPr="00F1608F" w:rsidRDefault="00F1608F" w:rsidP="00F1608F">
            <w:pPr>
              <w:pStyle w:val="TABLECONTENT"/>
              <w:framePr w:hSpace="0" w:wrap="auto" w:vAnchor="margin" w:hAnchor="text" w:xAlign="left" w:yAlign="inline"/>
              <w:suppressOverlap w:val="0"/>
              <w:jc w:val="center"/>
              <w:rPr>
                <w:b/>
                <w:bCs/>
                <w:lang w:val="es-CO"/>
              </w:rPr>
            </w:pPr>
          </w:p>
        </w:tc>
        <w:tc>
          <w:tcPr>
            <w:tcW w:w="2903" w:type="dxa"/>
            <w:tcBorders>
              <w:bottom w:val="single" w:sz="4" w:space="0" w:color="auto"/>
            </w:tcBorders>
            <w:noWrap/>
            <w:vAlign w:val="center"/>
            <w:hideMark/>
          </w:tcPr>
          <w:p w14:paraId="57E9E066"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w:t>
            </w:r>
          </w:p>
        </w:tc>
        <w:tc>
          <w:tcPr>
            <w:tcW w:w="1797" w:type="dxa"/>
            <w:tcBorders>
              <w:bottom w:val="single" w:sz="4" w:space="0" w:color="auto"/>
            </w:tcBorders>
            <w:vAlign w:val="center"/>
          </w:tcPr>
          <w:p w14:paraId="42527C9A"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1141,23062</w:t>
            </w:r>
          </w:p>
        </w:tc>
        <w:tc>
          <w:tcPr>
            <w:tcW w:w="3005" w:type="dxa"/>
            <w:tcBorders>
              <w:bottom w:val="single" w:sz="4" w:space="0" w:color="auto"/>
            </w:tcBorders>
            <w:noWrap/>
            <w:vAlign w:val="center"/>
            <w:hideMark/>
          </w:tcPr>
          <w:p w14:paraId="7182E7B9"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31,373%</w:t>
            </w:r>
          </w:p>
        </w:tc>
      </w:tr>
      <w:tr w:rsidR="00F1608F" w:rsidRPr="00D007FA" w14:paraId="4615AF05" w14:textId="77777777" w:rsidTr="00CD1F67">
        <w:trPr>
          <w:trHeight w:val="20"/>
          <w:jc w:val="center"/>
        </w:trPr>
        <w:tc>
          <w:tcPr>
            <w:tcW w:w="1226" w:type="dxa"/>
            <w:tcBorders>
              <w:top w:val="nil"/>
              <w:bottom w:val="single" w:sz="4" w:space="0" w:color="auto"/>
            </w:tcBorders>
            <w:vAlign w:val="center"/>
            <w:hideMark/>
          </w:tcPr>
          <w:p w14:paraId="21C1611E" w14:textId="77777777" w:rsidR="00F1608F" w:rsidRPr="00F1608F" w:rsidRDefault="00F1608F" w:rsidP="00F1608F">
            <w:pPr>
              <w:pStyle w:val="TABLECONTENT"/>
              <w:framePr w:hSpace="0" w:wrap="auto" w:vAnchor="margin" w:hAnchor="text" w:xAlign="left" w:yAlign="inline"/>
              <w:suppressOverlap w:val="0"/>
              <w:jc w:val="center"/>
              <w:rPr>
                <w:b/>
                <w:bCs/>
                <w:lang w:val="es-CO"/>
              </w:rPr>
            </w:pPr>
          </w:p>
        </w:tc>
        <w:tc>
          <w:tcPr>
            <w:tcW w:w="4700" w:type="dxa"/>
            <w:gridSpan w:val="2"/>
            <w:tcBorders>
              <w:top w:val="single" w:sz="4" w:space="0" w:color="auto"/>
              <w:bottom w:val="single" w:sz="4" w:space="0" w:color="auto"/>
            </w:tcBorders>
            <w:noWrap/>
            <w:vAlign w:val="center"/>
            <w:hideMark/>
          </w:tcPr>
          <w:p w14:paraId="253DC4C3" w14:textId="6E51E17A" w:rsidR="00F1608F" w:rsidRPr="0026606C" w:rsidRDefault="00B42D20" w:rsidP="00F1608F">
            <w:pPr>
              <w:pStyle w:val="TABLECONTENT"/>
              <w:framePr w:hSpace="0" w:wrap="auto" w:vAnchor="margin" w:hAnchor="text" w:xAlign="left" w:yAlign="inline"/>
              <w:suppressOverlap w:val="0"/>
              <w:jc w:val="center"/>
              <w:rPr>
                <w:b/>
                <w:bCs/>
                <w:lang w:val="es-CO"/>
              </w:rPr>
            </w:pPr>
            <w:r w:rsidRPr="0026606C">
              <w:rPr>
                <w:b/>
                <w:bCs/>
                <w:lang w:val="es-CO"/>
              </w:rPr>
              <w:t>Total</w:t>
            </w:r>
            <w:r w:rsidR="00F1608F" w:rsidRPr="0026606C">
              <w:rPr>
                <w:b/>
                <w:bCs/>
                <w:lang w:val="es-CO"/>
              </w:rPr>
              <w:t>-</w:t>
            </w:r>
            <w:r w:rsidRPr="0026606C">
              <w:rPr>
                <w:b/>
                <w:bCs/>
                <w:lang w:val="es-CO"/>
              </w:rPr>
              <w:t>ciudad</w:t>
            </w:r>
          </w:p>
        </w:tc>
        <w:tc>
          <w:tcPr>
            <w:tcW w:w="3005" w:type="dxa"/>
            <w:tcBorders>
              <w:top w:val="single" w:sz="4" w:space="0" w:color="auto"/>
              <w:bottom w:val="single" w:sz="4" w:space="0" w:color="auto"/>
            </w:tcBorders>
            <w:noWrap/>
            <w:vAlign w:val="center"/>
            <w:hideMark/>
          </w:tcPr>
          <w:p w14:paraId="4DB223D6" w14:textId="77777777" w:rsidR="00F1608F" w:rsidRPr="0026606C" w:rsidRDefault="00F1608F" w:rsidP="00F1608F">
            <w:pPr>
              <w:pStyle w:val="TABLECONTENT"/>
              <w:framePr w:hSpace="0" w:wrap="auto" w:vAnchor="margin" w:hAnchor="text" w:xAlign="left" w:yAlign="inline"/>
              <w:suppressOverlap w:val="0"/>
              <w:jc w:val="center"/>
              <w:rPr>
                <w:b/>
                <w:bCs/>
                <w:lang w:val="es-CO"/>
              </w:rPr>
            </w:pPr>
            <w:r w:rsidRPr="0026606C">
              <w:rPr>
                <w:b/>
                <w:bCs/>
                <w:lang w:val="es-CO"/>
              </w:rPr>
              <w:t>52,108%</w:t>
            </w:r>
          </w:p>
        </w:tc>
      </w:tr>
      <w:tr w:rsidR="00F1608F" w:rsidRPr="00D007FA" w14:paraId="6B5E476A" w14:textId="77777777" w:rsidTr="00CD1F67">
        <w:trPr>
          <w:trHeight w:val="20"/>
          <w:jc w:val="center"/>
        </w:trPr>
        <w:tc>
          <w:tcPr>
            <w:tcW w:w="1226" w:type="dxa"/>
            <w:vMerge w:val="restart"/>
            <w:tcBorders>
              <w:top w:val="nil"/>
              <w:bottom w:val="single" w:sz="4" w:space="0" w:color="auto"/>
            </w:tcBorders>
            <w:noWrap/>
            <w:vAlign w:val="center"/>
            <w:hideMark/>
          </w:tcPr>
          <w:p w14:paraId="48E82A55" w14:textId="0B526EE5"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K=3</w:t>
            </w:r>
          </w:p>
        </w:tc>
        <w:tc>
          <w:tcPr>
            <w:tcW w:w="2903" w:type="dxa"/>
            <w:tcBorders>
              <w:top w:val="single" w:sz="4" w:space="0" w:color="auto"/>
            </w:tcBorders>
            <w:noWrap/>
            <w:vAlign w:val="center"/>
            <w:hideMark/>
          </w:tcPr>
          <w:p w14:paraId="0DACDEB7"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w:t>
            </w:r>
          </w:p>
        </w:tc>
        <w:tc>
          <w:tcPr>
            <w:tcW w:w="1797" w:type="dxa"/>
            <w:tcBorders>
              <w:top w:val="single" w:sz="4" w:space="0" w:color="auto"/>
            </w:tcBorders>
            <w:vAlign w:val="center"/>
          </w:tcPr>
          <w:p w14:paraId="3BE8D22C"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2254,166667</w:t>
            </w:r>
          </w:p>
        </w:tc>
        <w:tc>
          <w:tcPr>
            <w:tcW w:w="3005" w:type="dxa"/>
            <w:tcBorders>
              <w:top w:val="single" w:sz="4" w:space="0" w:color="auto"/>
            </w:tcBorders>
            <w:noWrap/>
            <w:vAlign w:val="center"/>
            <w:hideMark/>
          </w:tcPr>
          <w:p w14:paraId="6DD3A498"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98,30%</w:t>
            </w:r>
          </w:p>
        </w:tc>
      </w:tr>
      <w:tr w:rsidR="00F1608F" w:rsidRPr="00D007FA" w14:paraId="1EE6702D" w14:textId="77777777" w:rsidTr="00CD1F67">
        <w:trPr>
          <w:trHeight w:val="20"/>
          <w:jc w:val="center"/>
        </w:trPr>
        <w:tc>
          <w:tcPr>
            <w:tcW w:w="1226" w:type="dxa"/>
            <w:vMerge/>
            <w:tcBorders>
              <w:top w:val="nil"/>
              <w:bottom w:val="single" w:sz="4" w:space="0" w:color="auto"/>
            </w:tcBorders>
            <w:vAlign w:val="center"/>
            <w:hideMark/>
          </w:tcPr>
          <w:p w14:paraId="1AE69270" w14:textId="77777777" w:rsidR="00F1608F" w:rsidRPr="00F1608F" w:rsidRDefault="00F1608F" w:rsidP="00F1608F">
            <w:pPr>
              <w:pStyle w:val="TABLECONTENT"/>
              <w:framePr w:hSpace="0" w:wrap="auto" w:vAnchor="margin" w:hAnchor="text" w:xAlign="left" w:yAlign="inline"/>
              <w:suppressOverlap w:val="0"/>
              <w:jc w:val="center"/>
              <w:rPr>
                <w:b/>
                <w:bCs/>
                <w:lang w:val="es-CO"/>
              </w:rPr>
            </w:pPr>
          </w:p>
        </w:tc>
        <w:tc>
          <w:tcPr>
            <w:tcW w:w="2903" w:type="dxa"/>
            <w:noWrap/>
            <w:vAlign w:val="center"/>
            <w:hideMark/>
          </w:tcPr>
          <w:p w14:paraId="1A8C9FF1"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w:t>
            </w:r>
          </w:p>
        </w:tc>
        <w:tc>
          <w:tcPr>
            <w:tcW w:w="1797" w:type="dxa"/>
            <w:vAlign w:val="center"/>
          </w:tcPr>
          <w:p w14:paraId="1FE09E72"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2211,289414</w:t>
            </w:r>
          </w:p>
        </w:tc>
        <w:tc>
          <w:tcPr>
            <w:tcW w:w="3005" w:type="dxa"/>
            <w:noWrap/>
            <w:vAlign w:val="center"/>
            <w:hideMark/>
          </w:tcPr>
          <w:p w14:paraId="072B303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84,18%</w:t>
            </w:r>
          </w:p>
        </w:tc>
      </w:tr>
      <w:tr w:rsidR="00F1608F" w:rsidRPr="00D007FA" w14:paraId="290D5F4B" w14:textId="77777777" w:rsidTr="00CD1F67">
        <w:trPr>
          <w:trHeight w:val="20"/>
          <w:jc w:val="center"/>
        </w:trPr>
        <w:tc>
          <w:tcPr>
            <w:tcW w:w="1226" w:type="dxa"/>
            <w:vMerge/>
            <w:tcBorders>
              <w:top w:val="nil"/>
              <w:bottom w:val="single" w:sz="4" w:space="0" w:color="auto"/>
            </w:tcBorders>
            <w:vAlign w:val="center"/>
            <w:hideMark/>
          </w:tcPr>
          <w:p w14:paraId="096A23ED" w14:textId="77777777" w:rsidR="00F1608F" w:rsidRPr="00F1608F" w:rsidRDefault="00F1608F" w:rsidP="00F1608F">
            <w:pPr>
              <w:pStyle w:val="TABLECONTENT"/>
              <w:framePr w:hSpace="0" w:wrap="auto" w:vAnchor="margin" w:hAnchor="text" w:xAlign="left" w:yAlign="inline"/>
              <w:suppressOverlap w:val="0"/>
              <w:jc w:val="center"/>
              <w:rPr>
                <w:b/>
                <w:bCs/>
                <w:lang w:val="es-CO"/>
              </w:rPr>
            </w:pPr>
          </w:p>
        </w:tc>
        <w:tc>
          <w:tcPr>
            <w:tcW w:w="2903" w:type="dxa"/>
            <w:tcBorders>
              <w:bottom w:val="single" w:sz="4" w:space="0" w:color="auto"/>
            </w:tcBorders>
            <w:noWrap/>
            <w:vAlign w:val="center"/>
            <w:hideMark/>
          </w:tcPr>
          <w:p w14:paraId="47F0E9B4"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3</w:t>
            </w:r>
          </w:p>
        </w:tc>
        <w:tc>
          <w:tcPr>
            <w:tcW w:w="1797" w:type="dxa"/>
            <w:tcBorders>
              <w:bottom w:val="single" w:sz="4" w:space="0" w:color="auto"/>
            </w:tcBorders>
            <w:vAlign w:val="center"/>
          </w:tcPr>
          <w:p w14:paraId="0042777C"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1051,535088</w:t>
            </w:r>
          </w:p>
        </w:tc>
        <w:tc>
          <w:tcPr>
            <w:tcW w:w="3005" w:type="dxa"/>
            <w:tcBorders>
              <w:bottom w:val="single" w:sz="4" w:space="0" w:color="auto"/>
            </w:tcBorders>
            <w:noWrap/>
            <w:vAlign w:val="center"/>
            <w:hideMark/>
          </w:tcPr>
          <w:p w14:paraId="10EE8267"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61,86%</w:t>
            </w:r>
          </w:p>
        </w:tc>
      </w:tr>
      <w:tr w:rsidR="00F1608F" w:rsidRPr="00D007FA" w14:paraId="5DE70840" w14:textId="77777777" w:rsidTr="00CD1F67">
        <w:trPr>
          <w:trHeight w:val="20"/>
          <w:jc w:val="center"/>
        </w:trPr>
        <w:tc>
          <w:tcPr>
            <w:tcW w:w="1226" w:type="dxa"/>
            <w:tcBorders>
              <w:top w:val="nil"/>
              <w:bottom w:val="single" w:sz="4" w:space="0" w:color="auto"/>
            </w:tcBorders>
            <w:vAlign w:val="center"/>
            <w:hideMark/>
          </w:tcPr>
          <w:p w14:paraId="010D9919" w14:textId="77777777" w:rsidR="00F1608F" w:rsidRPr="00F1608F" w:rsidRDefault="00F1608F" w:rsidP="00F1608F">
            <w:pPr>
              <w:pStyle w:val="TABLECONTENT"/>
              <w:framePr w:hSpace="0" w:wrap="auto" w:vAnchor="margin" w:hAnchor="text" w:xAlign="left" w:yAlign="inline"/>
              <w:suppressOverlap w:val="0"/>
              <w:jc w:val="center"/>
              <w:rPr>
                <w:b/>
                <w:bCs/>
                <w:lang w:val="es-CO"/>
              </w:rPr>
            </w:pPr>
          </w:p>
        </w:tc>
        <w:tc>
          <w:tcPr>
            <w:tcW w:w="4700" w:type="dxa"/>
            <w:gridSpan w:val="2"/>
            <w:tcBorders>
              <w:top w:val="single" w:sz="4" w:space="0" w:color="auto"/>
              <w:bottom w:val="single" w:sz="4" w:space="0" w:color="auto"/>
            </w:tcBorders>
            <w:noWrap/>
            <w:vAlign w:val="center"/>
            <w:hideMark/>
          </w:tcPr>
          <w:p w14:paraId="638A8310" w14:textId="26787120" w:rsidR="00F1608F" w:rsidRPr="0026606C" w:rsidRDefault="00B42D20" w:rsidP="00F1608F">
            <w:pPr>
              <w:pStyle w:val="TABLECONTENT"/>
              <w:framePr w:hSpace="0" w:wrap="auto" w:vAnchor="margin" w:hAnchor="text" w:xAlign="left" w:yAlign="inline"/>
              <w:suppressOverlap w:val="0"/>
              <w:jc w:val="center"/>
              <w:rPr>
                <w:b/>
                <w:bCs/>
                <w:lang w:val="es-CO"/>
              </w:rPr>
            </w:pPr>
            <w:r w:rsidRPr="0026606C">
              <w:rPr>
                <w:b/>
                <w:bCs/>
                <w:lang w:val="es-CO"/>
              </w:rPr>
              <w:t>Total</w:t>
            </w:r>
            <w:r w:rsidR="00F1608F" w:rsidRPr="0026606C">
              <w:rPr>
                <w:b/>
                <w:bCs/>
                <w:lang w:val="es-CO"/>
              </w:rPr>
              <w:t>-</w:t>
            </w:r>
            <w:r w:rsidRPr="0026606C">
              <w:rPr>
                <w:b/>
                <w:bCs/>
                <w:lang w:val="es-CO"/>
              </w:rPr>
              <w:t>ciudad</w:t>
            </w:r>
          </w:p>
        </w:tc>
        <w:tc>
          <w:tcPr>
            <w:tcW w:w="3005" w:type="dxa"/>
            <w:tcBorders>
              <w:top w:val="single" w:sz="4" w:space="0" w:color="auto"/>
              <w:bottom w:val="single" w:sz="4" w:space="0" w:color="auto"/>
            </w:tcBorders>
            <w:noWrap/>
            <w:vAlign w:val="center"/>
            <w:hideMark/>
          </w:tcPr>
          <w:p w14:paraId="53D2ED50" w14:textId="77777777" w:rsidR="00F1608F" w:rsidRPr="0026606C" w:rsidRDefault="00F1608F" w:rsidP="00F1608F">
            <w:pPr>
              <w:pStyle w:val="TABLECONTENT"/>
              <w:framePr w:hSpace="0" w:wrap="auto" w:vAnchor="margin" w:hAnchor="text" w:xAlign="left" w:yAlign="inline"/>
              <w:suppressOverlap w:val="0"/>
              <w:jc w:val="center"/>
              <w:rPr>
                <w:b/>
                <w:bCs/>
                <w:lang w:val="es-CO"/>
              </w:rPr>
            </w:pPr>
            <w:r w:rsidRPr="0026606C">
              <w:rPr>
                <w:b/>
                <w:bCs/>
                <w:lang w:val="es-CO"/>
              </w:rPr>
              <w:t>81,73%</w:t>
            </w:r>
          </w:p>
        </w:tc>
      </w:tr>
      <w:tr w:rsidR="00F1608F" w:rsidRPr="00D007FA" w14:paraId="079D1AC1" w14:textId="77777777" w:rsidTr="00CD1F67">
        <w:trPr>
          <w:trHeight w:val="20"/>
          <w:jc w:val="center"/>
        </w:trPr>
        <w:tc>
          <w:tcPr>
            <w:tcW w:w="1226" w:type="dxa"/>
            <w:vMerge w:val="restart"/>
            <w:tcBorders>
              <w:top w:val="nil"/>
              <w:bottom w:val="single" w:sz="4" w:space="0" w:color="auto"/>
            </w:tcBorders>
            <w:noWrap/>
            <w:vAlign w:val="center"/>
            <w:hideMark/>
          </w:tcPr>
          <w:p w14:paraId="03347890" w14:textId="7CA4A0AD" w:rsidR="00F1608F" w:rsidRPr="00F1608F" w:rsidRDefault="00B42D20" w:rsidP="00F1608F">
            <w:pPr>
              <w:pStyle w:val="TABLECONTENT"/>
              <w:framePr w:hSpace="0" w:wrap="auto" w:vAnchor="margin" w:hAnchor="text" w:xAlign="left" w:yAlign="inline"/>
              <w:suppressOverlap w:val="0"/>
              <w:jc w:val="center"/>
              <w:rPr>
                <w:b/>
                <w:bCs/>
                <w:lang w:val="es-CO"/>
              </w:rPr>
            </w:pPr>
            <w:r w:rsidRPr="00F1608F">
              <w:rPr>
                <w:b/>
                <w:bCs/>
                <w:lang w:val="es-CO"/>
              </w:rPr>
              <w:t>K=5</w:t>
            </w:r>
          </w:p>
        </w:tc>
        <w:tc>
          <w:tcPr>
            <w:tcW w:w="2903" w:type="dxa"/>
            <w:tcBorders>
              <w:top w:val="single" w:sz="4" w:space="0" w:color="auto"/>
            </w:tcBorders>
            <w:noWrap/>
            <w:vAlign w:val="center"/>
            <w:hideMark/>
          </w:tcPr>
          <w:p w14:paraId="0F01E2B7"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w:t>
            </w:r>
          </w:p>
        </w:tc>
        <w:tc>
          <w:tcPr>
            <w:tcW w:w="1797" w:type="dxa"/>
            <w:tcBorders>
              <w:top w:val="single" w:sz="4" w:space="0" w:color="auto"/>
            </w:tcBorders>
            <w:vAlign w:val="center"/>
          </w:tcPr>
          <w:p w14:paraId="56633503"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2155,924479</w:t>
            </w:r>
          </w:p>
        </w:tc>
        <w:tc>
          <w:tcPr>
            <w:tcW w:w="3005" w:type="dxa"/>
            <w:tcBorders>
              <w:top w:val="single" w:sz="4" w:space="0" w:color="auto"/>
            </w:tcBorders>
            <w:noWrap/>
            <w:vAlign w:val="center"/>
            <w:hideMark/>
          </w:tcPr>
          <w:p w14:paraId="36F59D37"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85,048%</w:t>
            </w:r>
          </w:p>
        </w:tc>
      </w:tr>
      <w:tr w:rsidR="00F1608F" w:rsidRPr="00D007FA" w14:paraId="064E6400" w14:textId="77777777" w:rsidTr="00CD1F67">
        <w:trPr>
          <w:trHeight w:val="20"/>
          <w:jc w:val="center"/>
        </w:trPr>
        <w:tc>
          <w:tcPr>
            <w:tcW w:w="1226" w:type="dxa"/>
            <w:vMerge/>
            <w:tcBorders>
              <w:top w:val="nil"/>
              <w:bottom w:val="single" w:sz="4" w:space="0" w:color="auto"/>
            </w:tcBorders>
            <w:vAlign w:val="center"/>
            <w:hideMark/>
          </w:tcPr>
          <w:p w14:paraId="31181470" w14:textId="77777777" w:rsidR="00F1608F" w:rsidRPr="00F1608F" w:rsidRDefault="00F1608F" w:rsidP="00F1608F">
            <w:pPr>
              <w:pStyle w:val="TABLECONTENT"/>
              <w:framePr w:hSpace="0" w:wrap="auto" w:vAnchor="margin" w:hAnchor="text" w:xAlign="left" w:yAlign="inline"/>
              <w:suppressOverlap w:val="0"/>
              <w:jc w:val="center"/>
              <w:rPr>
                <w:lang w:val="es-CO"/>
              </w:rPr>
            </w:pPr>
          </w:p>
        </w:tc>
        <w:tc>
          <w:tcPr>
            <w:tcW w:w="2903" w:type="dxa"/>
            <w:noWrap/>
            <w:vAlign w:val="center"/>
            <w:hideMark/>
          </w:tcPr>
          <w:p w14:paraId="03D4DA9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w:t>
            </w:r>
          </w:p>
        </w:tc>
        <w:tc>
          <w:tcPr>
            <w:tcW w:w="1797" w:type="dxa"/>
            <w:vAlign w:val="center"/>
          </w:tcPr>
          <w:p w14:paraId="17D38F48"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992,3878205</w:t>
            </w:r>
          </w:p>
        </w:tc>
        <w:tc>
          <w:tcPr>
            <w:tcW w:w="3005" w:type="dxa"/>
            <w:noWrap/>
            <w:vAlign w:val="center"/>
            <w:hideMark/>
          </w:tcPr>
          <w:p w14:paraId="2A2C7342"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65,216%</w:t>
            </w:r>
          </w:p>
        </w:tc>
      </w:tr>
      <w:tr w:rsidR="00CD1F67" w:rsidRPr="00D007FA" w14:paraId="55ADED8C" w14:textId="77777777" w:rsidTr="00CD1F67">
        <w:trPr>
          <w:trHeight w:val="20"/>
          <w:jc w:val="center"/>
        </w:trPr>
        <w:tc>
          <w:tcPr>
            <w:tcW w:w="1226" w:type="dxa"/>
            <w:vMerge/>
            <w:tcBorders>
              <w:top w:val="nil"/>
              <w:bottom w:val="single" w:sz="4" w:space="0" w:color="auto"/>
            </w:tcBorders>
            <w:vAlign w:val="center"/>
            <w:hideMark/>
          </w:tcPr>
          <w:p w14:paraId="085F103F" w14:textId="77777777" w:rsidR="00F1608F" w:rsidRPr="00F1608F" w:rsidRDefault="00F1608F" w:rsidP="00F1608F">
            <w:pPr>
              <w:pStyle w:val="TABLECONTENT"/>
              <w:framePr w:hSpace="0" w:wrap="auto" w:vAnchor="margin" w:hAnchor="text" w:xAlign="left" w:yAlign="inline"/>
              <w:suppressOverlap w:val="0"/>
              <w:jc w:val="center"/>
              <w:rPr>
                <w:lang w:val="es-CO"/>
              </w:rPr>
            </w:pPr>
          </w:p>
        </w:tc>
        <w:tc>
          <w:tcPr>
            <w:tcW w:w="2903" w:type="dxa"/>
            <w:noWrap/>
            <w:vAlign w:val="center"/>
            <w:hideMark/>
          </w:tcPr>
          <w:p w14:paraId="41FEF5DC"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3</w:t>
            </w:r>
          </w:p>
        </w:tc>
        <w:tc>
          <w:tcPr>
            <w:tcW w:w="1797" w:type="dxa"/>
            <w:vAlign w:val="center"/>
          </w:tcPr>
          <w:p w14:paraId="6D2AE2D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2426,866319</w:t>
            </w:r>
          </w:p>
        </w:tc>
        <w:tc>
          <w:tcPr>
            <w:tcW w:w="3005" w:type="dxa"/>
            <w:noWrap/>
            <w:vAlign w:val="center"/>
            <w:hideMark/>
          </w:tcPr>
          <w:p w14:paraId="214E58B5"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100%</w:t>
            </w:r>
          </w:p>
        </w:tc>
      </w:tr>
      <w:tr w:rsidR="00F1608F" w:rsidRPr="00D007FA" w14:paraId="7493E197" w14:textId="77777777" w:rsidTr="00CD1F67">
        <w:trPr>
          <w:trHeight w:val="20"/>
          <w:jc w:val="center"/>
        </w:trPr>
        <w:tc>
          <w:tcPr>
            <w:tcW w:w="1226" w:type="dxa"/>
            <w:vMerge/>
            <w:tcBorders>
              <w:top w:val="nil"/>
              <w:bottom w:val="single" w:sz="4" w:space="0" w:color="auto"/>
            </w:tcBorders>
            <w:vAlign w:val="center"/>
            <w:hideMark/>
          </w:tcPr>
          <w:p w14:paraId="0C7EECE1" w14:textId="77777777" w:rsidR="00F1608F" w:rsidRPr="00F1608F" w:rsidRDefault="00F1608F" w:rsidP="00F1608F">
            <w:pPr>
              <w:pStyle w:val="TABLECONTENT"/>
              <w:framePr w:hSpace="0" w:wrap="auto" w:vAnchor="margin" w:hAnchor="text" w:xAlign="left" w:yAlign="inline"/>
              <w:suppressOverlap w:val="0"/>
              <w:jc w:val="center"/>
              <w:rPr>
                <w:lang w:val="es-CO"/>
              </w:rPr>
            </w:pPr>
          </w:p>
        </w:tc>
        <w:tc>
          <w:tcPr>
            <w:tcW w:w="2903" w:type="dxa"/>
            <w:noWrap/>
            <w:vAlign w:val="center"/>
            <w:hideMark/>
          </w:tcPr>
          <w:p w14:paraId="7C521F1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4</w:t>
            </w:r>
          </w:p>
        </w:tc>
        <w:tc>
          <w:tcPr>
            <w:tcW w:w="1797" w:type="dxa"/>
            <w:vAlign w:val="center"/>
          </w:tcPr>
          <w:p w14:paraId="7580C89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1942,540323</w:t>
            </w:r>
          </w:p>
        </w:tc>
        <w:tc>
          <w:tcPr>
            <w:tcW w:w="3005" w:type="dxa"/>
            <w:noWrap/>
            <w:vAlign w:val="center"/>
            <w:hideMark/>
          </w:tcPr>
          <w:p w14:paraId="689D4603"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100%</w:t>
            </w:r>
          </w:p>
        </w:tc>
      </w:tr>
      <w:tr w:rsidR="00F1608F" w:rsidRPr="00D007FA" w14:paraId="37E24778" w14:textId="77777777" w:rsidTr="00CD1F67">
        <w:trPr>
          <w:trHeight w:val="20"/>
          <w:jc w:val="center"/>
        </w:trPr>
        <w:tc>
          <w:tcPr>
            <w:tcW w:w="1226" w:type="dxa"/>
            <w:vMerge/>
            <w:tcBorders>
              <w:top w:val="nil"/>
              <w:bottom w:val="single" w:sz="4" w:space="0" w:color="auto"/>
            </w:tcBorders>
            <w:vAlign w:val="center"/>
            <w:hideMark/>
          </w:tcPr>
          <w:p w14:paraId="68424B66" w14:textId="77777777" w:rsidR="00F1608F" w:rsidRPr="00F1608F" w:rsidRDefault="00F1608F" w:rsidP="00F1608F">
            <w:pPr>
              <w:pStyle w:val="TABLECONTENT"/>
              <w:framePr w:hSpace="0" w:wrap="auto" w:vAnchor="margin" w:hAnchor="text" w:xAlign="left" w:yAlign="inline"/>
              <w:suppressOverlap w:val="0"/>
              <w:jc w:val="center"/>
              <w:rPr>
                <w:lang w:val="es-CO"/>
              </w:rPr>
            </w:pPr>
          </w:p>
        </w:tc>
        <w:tc>
          <w:tcPr>
            <w:tcW w:w="2903" w:type="dxa"/>
            <w:tcBorders>
              <w:bottom w:val="single" w:sz="4" w:space="0" w:color="auto"/>
            </w:tcBorders>
            <w:noWrap/>
            <w:vAlign w:val="center"/>
            <w:hideMark/>
          </w:tcPr>
          <w:p w14:paraId="52537779"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5</w:t>
            </w:r>
          </w:p>
        </w:tc>
        <w:tc>
          <w:tcPr>
            <w:tcW w:w="1797" w:type="dxa"/>
            <w:tcBorders>
              <w:bottom w:val="single" w:sz="4" w:space="0" w:color="auto"/>
            </w:tcBorders>
            <w:vAlign w:val="center"/>
          </w:tcPr>
          <w:p w14:paraId="671B3A9E"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2294,573643</w:t>
            </w:r>
          </w:p>
        </w:tc>
        <w:tc>
          <w:tcPr>
            <w:tcW w:w="3005" w:type="dxa"/>
            <w:tcBorders>
              <w:bottom w:val="single" w:sz="4" w:space="0" w:color="auto"/>
            </w:tcBorders>
            <w:noWrap/>
            <w:vAlign w:val="center"/>
            <w:hideMark/>
          </w:tcPr>
          <w:p w14:paraId="1AA49B30" w14:textId="77777777" w:rsidR="00F1608F" w:rsidRPr="00F1608F" w:rsidRDefault="00F1608F" w:rsidP="00F1608F">
            <w:pPr>
              <w:pStyle w:val="TABLECONTENT"/>
              <w:framePr w:hSpace="0" w:wrap="auto" w:vAnchor="margin" w:hAnchor="text" w:xAlign="left" w:yAlign="inline"/>
              <w:suppressOverlap w:val="0"/>
              <w:jc w:val="center"/>
              <w:rPr>
                <w:lang w:val="es-CO"/>
              </w:rPr>
            </w:pPr>
            <w:r w:rsidRPr="00F1608F">
              <w:rPr>
                <w:lang w:val="es-CO"/>
              </w:rPr>
              <w:t>100%</w:t>
            </w:r>
          </w:p>
        </w:tc>
      </w:tr>
      <w:tr w:rsidR="00F1608F" w:rsidRPr="00D007FA" w14:paraId="17C3C6E0" w14:textId="77777777" w:rsidTr="00CD1F67">
        <w:trPr>
          <w:trHeight w:val="20"/>
          <w:jc w:val="center"/>
        </w:trPr>
        <w:tc>
          <w:tcPr>
            <w:tcW w:w="1226" w:type="dxa"/>
            <w:tcBorders>
              <w:top w:val="single" w:sz="4" w:space="0" w:color="auto"/>
            </w:tcBorders>
            <w:vAlign w:val="center"/>
            <w:hideMark/>
          </w:tcPr>
          <w:p w14:paraId="7EDCA7EC" w14:textId="77777777" w:rsidR="00F1608F" w:rsidRPr="00F1608F" w:rsidRDefault="00F1608F" w:rsidP="00F1608F">
            <w:pPr>
              <w:pStyle w:val="TABLECONTENT"/>
              <w:framePr w:hSpace="0" w:wrap="auto" w:vAnchor="margin" w:hAnchor="text" w:xAlign="left" w:yAlign="inline"/>
              <w:suppressOverlap w:val="0"/>
              <w:jc w:val="center"/>
              <w:rPr>
                <w:lang w:val="es-CO"/>
              </w:rPr>
            </w:pPr>
          </w:p>
        </w:tc>
        <w:tc>
          <w:tcPr>
            <w:tcW w:w="4700" w:type="dxa"/>
            <w:gridSpan w:val="2"/>
            <w:tcBorders>
              <w:top w:val="single" w:sz="4" w:space="0" w:color="auto"/>
              <w:bottom w:val="single" w:sz="4" w:space="0" w:color="auto"/>
            </w:tcBorders>
            <w:noWrap/>
            <w:vAlign w:val="center"/>
            <w:hideMark/>
          </w:tcPr>
          <w:p w14:paraId="44D2D43E" w14:textId="5035187A" w:rsidR="00F1608F" w:rsidRPr="0026606C" w:rsidRDefault="00B42D20" w:rsidP="00F1608F">
            <w:pPr>
              <w:pStyle w:val="TABLECONTENT"/>
              <w:framePr w:hSpace="0" w:wrap="auto" w:vAnchor="margin" w:hAnchor="text" w:xAlign="left" w:yAlign="inline"/>
              <w:suppressOverlap w:val="0"/>
              <w:jc w:val="center"/>
              <w:rPr>
                <w:b/>
                <w:bCs/>
                <w:lang w:val="es-CO"/>
              </w:rPr>
            </w:pPr>
            <w:r w:rsidRPr="0026606C">
              <w:rPr>
                <w:b/>
                <w:bCs/>
                <w:lang w:val="es-CO"/>
              </w:rPr>
              <w:t>Total</w:t>
            </w:r>
            <w:r w:rsidR="00F1608F" w:rsidRPr="0026606C">
              <w:rPr>
                <w:b/>
                <w:bCs/>
                <w:lang w:val="es-CO"/>
              </w:rPr>
              <w:t>-</w:t>
            </w:r>
            <w:r w:rsidRPr="0026606C">
              <w:rPr>
                <w:b/>
                <w:bCs/>
                <w:lang w:val="es-CO"/>
              </w:rPr>
              <w:t>ciudad</w:t>
            </w:r>
          </w:p>
        </w:tc>
        <w:tc>
          <w:tcPr>
            <w:tcW w:w="3005" w:type="dxa"/>
            <w:tcBorders>
              <w:top w:val="single" w:sz="4" w:space="0" w:color="auto"/>
              <w:bottom w:val="single" w:sz="4" w:space="0" w:color="auto"/>
            </w:tcBorders>
            <w:noWrap/>
            <w:vAlign w:val="center"/>
            <w:hideMark/>
          </w:tcPr>
          <w:p w14:paraId="672529DC" w14:textId="77777777" w:rsidR="00F1608F" w:rsidRPr="0026606C" w:rsidRDefault="00F1608F" w:rsidP="00F1608F">
            <w:pPr>
              <w:pStyle w:val="TABLECONTENT"/>
              <w:framePr w:hSpace="0" w:wrap="auto" w:vAnchor="margin" w:hAnchor="text" w:xAlign="left" w:yAlign="inline"/>
              <w:suppressOverlap w:val="0"/>
              <w:jc w:val="center"/>
              <w:rPr>
                <w:b/>
                <w:bCs/>
                <w:lang w:val="es-CO"/>
              </w:rPr>
            </w:pPr>
            <w:r w:rsidRPr="0026606C">
              <w:rPr>
                <w:b/>
                <w:bCs/>
                <w:lang w:val="es-CO"/>
              </w:rPr>
              <w:t>88,050%</w:t>
            </w:r>
          </w:p>
        </w:tc>
      </w:tr>
    </w:tbl>
    <w:p w14:paraId="7EC5E9E9" w14:textId="77777777" w:rsidR="00AA6316" w:rsidRDefault="00AA6316" w:rsidP="00303FB3">
      <w:pPr>
        <w:pStyle w:val="BODY0"/>
        <w:ind w:left="0" w:right="824"/>
      </w:pPr>
    </w:p>
    <w:p w14:paraId="650DBC6F" w14:textId="77777777" w:rsidR="009E32DD" w:rsidRDefault="009E32DD" w:rsidP="009E32DD">
      <w:pPr>
        <w:pStyle w:val="BODY0"/>
        <w:spacing w:after="0"/>
        <w:ind w:right="824"/>
      </w:pPr>
      <w:r w:rsidRPr="00C07426">
        <w:rPr>
          <w:noProof/>
        </w:rPr>
        <w:drawing>
          <wp:inline distT="0" distB="0" distL="0" distR="0" wp14:anchorId="168630C2" wp14:editId="3EBAD40D">
            <wp:extent cx="5676181" cy="3516764"/>
            <wp:effectExtent l="0" t="0" r="1270" b="7620"/>
            <wp:docPr id="1747028094"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028094" name="Imagen 1" descr="Diagrama&#10;&#10;El contenido generado por IA puede ser incorrecto."/>
                    <pic:cNvPicPr/>
                  </pic:nvPicPr>
                  <pic:blipFill>
                    <a:blip r:embed="rId12"/>
                    <a:stretch>
                      <a:fillRect/>
                    </a:stretch>
                  </pic:blipFill>
                  <pic:spPr>
                    <a:xfrm>
                      <a:off x="0" y="0"/>
                      <a:ext cx="5699244" cy="3531053"/>
                    </a:xfrm>
                    <a:prstGeom prst="rect">
                      <a:avLst/>
                    </a:prstGeom>
                  </pic:spPr>
                </pic:pic>
              </a:graphicData>
            </a:graphic>
          </wp:inline>
        </w:drawing>
      </w:r>
    </w:p>
    <w:p w14:paraId="5B02D3DA" w14:textId="77777777" w:rsidR="009E32DD" w:rsidRPr="00FA1EB5" w:rsidRDefault="009E32DD" w:rsidP="009E32DD">
      <w:pPr>
        <w:pStyle w:val="Figure"/>
        <w:spacing w:after="0" w:line="240" w:lineRule="auto"/>
      </w:pPr>
      <w:r>
        <w:t xml:space="preserve">    </w:t>
      </w:r>
      <w:r w:rsidRPr="001959F8">
        <w:t xml:space="preserve">Fig. </w:t>
      </w:r>
      <w:r>
        <w:t>4</w:t>
      </w:r>
      <w:r w:rsidRPr="001959F8">
        <w:t xml:space="preserve">. </w:t>
      </w:r>
      <w:r w:rsidRPr="0080241C">
        <w:t>Evaluación de la cobertura de los esquemas de localización de CMT ante sismos en la ciudad de Bucaramanga.</w:t>
      </w:r>
    </w:p>
    <w:p w14:paraId="6C787AD9" w14:textId="77777777" w:rsidR="009E32DD" w:rsidRDefault="009E32DD" w:rsidP="00054A00">
      <w:pPr>
        <w:pStyle w:val="BODY0"/>
        <w:ind w:right="824"/>
      </w:pPr>
    </w:p>
    <w:p w14:paraId="197EFCA2" w14:textId="0856293B" w:rsidR="00FA1EB5" w:rsidRDefault="00997772" w:rsidP="00054A00">
      <w:pPr>
        <w:pStyle w:val="BODY0"/>
        <w:ind w:right="824"/>
      </w:pPr>
      <w:r>
        <w:t>En términos de resultados, la cobertura total de la ciudad evoluciona de 52,108% (k=2) a 81,731% (k=3) y 88,050% (k=5). En el clúster crítico, la cobertura mejora de 31,373% a 61,859% y 65,216%, respectivamente. En conjunto, estos valores consolidan k=5 como el esquema de mejor desempeño agregado, con una atención más equilibrada en el territorio (ver Fig</w:t>
      </w:r>
      <w:r w:rsidR="00F13B02">
        <w:t>.</w:t>
      </w:r>
      <w:r>
        <w:t xml:space="preserve"> </w:t>
      </w:r>
      <w:r w:rsidR="00F13B02">
        <w:t>5</w:t>
      </w:r>
      <w:r>
        <w:t>).</w:t>
      </w:r>
    </w:p>
    <w:p w14:paraId="1BD9B85A" w14:textId="18367DC3" w:rsidR="00B827C0" w:rsidRDefault="00F86187" w:rsidP="00B827C0">
      <w:pPr>
        <w:pStyle w:val="BODY0"/>
        <w:ind w:right="824"/>
      </w:pPr>
      <w:r w:rsidRPr="00F86187">
        <w:rPr>
          <w:noProof/>
        </w:rPr>
        <w:lastRenderedPageBreak/>
        <w:drawing>
          <wp:inline distT="0" distB="0" distL="0" distR="0" wp14:anchorId="7D8362CD" wp14:editId="1DE0CAF1">
            <wp:extent cx="5430008" cy="3991532"/>
            <wp:effectExtent l="0" t="0" r="0" b="9525"/>
            <wp:docPr id="2115512229" name="Imagen 1" descr="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512229" name="Imagen 1" descr="Gráfico&#10;&#10;El contenido generado por IA puede ser incorrecto."/>
                    <pic:cNvPicPr/>
                  </pic:nvPicPr>
                  <pic:blipFill>
                    <a:blip r:embed="rId13"/>
                    <a:stretch>
                      <a:fillRect/>
                    </a:stretch>
                  </pic:blipFill>
                  <pic:spPr>
                    <a:xfrm>
                      <a:off x="0" y="0"/>
                      <a:ext cx="5430008" cy="3991532"/>
                    </a:xfrm>
                    <a:prstGeom prst="rect">
                      <a:avLst/>
                    </a:prstGeom>
                  </pic:spPr>
                </pic:pic>
              </a:graphicData>
            </a:graphic>
          </wp:inline>
        </w:drawing>
      </w:r>
    </w:p>
    <w:p w14:paraId="0285210C" w14:textId="10EECD14" w:rsidR="00DA42D6" w:rsidRPr="00FA1EB5" w:rsidRDefault="00DA42D6" w:rsidP="00BE32C5">
      <w:pPr>
        <w:pStyle w:val="Figure"/>
        <w:spacing w:after="0" w:line="240" w:lineRule="auto"/>
      </w:pPr>
      <w:r w:rsidRPr="001959F8">
        <w:t xml:space="preserve">Fig. </w:t>
      </w:r>
      <w:r>
        <w:t>5</w:t>
      </w:r>
      <w:r w:rsidRPr="001959F8">
        <w:t xml:space="preserve">. </w:t>
      </w:r>
      <w:r w:rsidR="00BE32C5" w:rsidRPr="00BE32C5">
        <w:t>Resumen comparativo de la evaluación de cobertura entre los esquemas de localización.</w:t>
      </w:r>
    </w:p>
    <w:p w14:paraId="37AE9384" w14:textId="4CF3FA73" w:rsidR="00FA1EB5" w:rsidRPr="00FA1EB5" w:rsidRDefault="00FA1EB5" w:rsidP="00FA1EB5">
      <w:pPr>
        <w:pStyle w:val="HEADING2"/>
      </w:pPr>
      <w:r>
        <w:t>4</w:t>
      </w:r>
      <w:r w:rsidRPr="00DE4415">
        <w:t>.</w:t>
      </w:r>
      <w:r>
        <w:t>5</w:t>
      </w:r>
      <w:r w:rsidRPr="00DE4415">
        <w:t>|</w:t>
      </w:r>
      <w:r w:rsidRPr="00FA1EB5">
        <w:t>Discusión</w:t>
      </w:r>
    </w:p>
    <w:p w14:paraId="79DD901D" w14:textId="304D7232" w:rsidR="00A82C44" w:rsidRDefault="004F7598" w:rsidP="00A82C44">
      <w:pPr>
        <w:pStyle w:val="BODY0"/>
        <w:ind w:right="824"/>
      </w:pPr>
      <w:r>
        <w:t xml:space="preserve">Los resultados muestran que el parámetro k no solo define un cambio “geométrico” en la partición del territorio, sino una modificación directa en la capacidad del esquema para aproximarse a la distribución espacial de la demanda y, por tanto, en el desempeño de cobertura. Al pasar de k=2 a k=3 y k=5, se reduce el nivel de agregación territorial, se evita que un único CMT represente áreas extensas y heterogéneas, y se obtienen configuraciones más consistentes con la variabilidad espacial de los barrios. Esta relación se observa en el salto de cobertura total de 52,108% a 81,731% y 88,050%, y en la mejora del clúster crítico de 31,373% a 61,859% y 65,216% (ver </w:t>
      </w:r>
      <w:r w:rsidR="00427783">
        <w:t>Fig</w:t>
      </w:r>
      <w:r w:rsidR="005956CA">
        <w:t>. 5</w:t>
      </w:r>
      <w:r>
        <w:t xml:space="preserve">). </w:t>
      </w:r>
      <w:r w:rsidR="002F7E0A" w:rsidRPr="002F7E0A">
        <w:t xml:space="preserve">En este sentido, aumentar k hasta el nivel de segmentación que resulta mejor posicionado según los criterios del codo y el índice de silueta permite acercar el punto representativo (CMT) a zonas con mayor concentración de demanda, reduciendo distancias efectivas dentro de cada clúster y ampliando la proporción de barrios cuyo centroide queda dentro del radio. </w:t>
      </w:r>
    </w:p>
    <w:p w14:paraId="43D87194" w14:textId="20F81B7D" w:rsidR="004F7598" w:rsidRDefault="002F7E0A" w:rsidP="00A82C44">
      <w:pPr>
        <w:pStyle w:val="BODY0"/>
        <w:ind w:right="824"/>
      </w:pPr>
      <w:r w:rsidRPr="002F7E0A">
        <w:t>Sin embargo,</w:t>
      </w:r>
      <w:r w:rsidR="00197FBE">
        <w:t xml:space="preserve"> </w:t>
      </w:r>
      <w:r w:rsidR="00D3207B" w:rsidRPr="00D3207B">
        <w:t>incrementos adicionales de k dependen de la calidad de la partición y de la coherencia espacial del esquema. En particular, las mejoras marginales tienden a reducirse después de valores pequeños de k, y el índice de silueta alcanza su valor máximo en k=2 y luego presenta una tendencia decreciente, aunque k=3 y k=5 mantienen valores relativamente altos (ver Fig</w:t>
      </w:r>
      <w:r w:rsidR="007C7347">
        <w:t xml:space="preserve">. </w:t>
      </w:r>
      <w:r w:rsidR="00D3207B" w:rsidRPr="00D3207B">
        <w:t xml:space="preserve">3). Además, cada nuevo clúster implica la apertura de un nuevo CMT, lo que incrementa la cobertura, pero también aumenta el costo operativo y la complejidad logística asociada al despliegue. A nivel de clusterización, valores altos de k pueden generar grupos pequeños y sensibles a variaciones marginales en los datos, con particiones </w:t>
      </w:r>
      <w:proofErr w:type="gramStart"/>
      <w:r w:rsidR="00D3207B" w:rsidRPr="00D3207B">
        <w:t>menos robustas y menos interpretables</w:t>
      </w:r>
      <w:proofErr w:type="gramEnd"/>
      <w:r w:rsidR="00D3207B" w:rsidRPr="00D3207B">
        <w:t xml:space="preserve"> para la planificación territorial.</w:t>
      </w:r>
    </w:p>
    <w:p w14:paraId="09A70B96" w14:textId="08C28E70" w:rsidR="004F7598" w:rsidRDefault="00A82C44" w:rsidP="004F7598">
      <w:pPr>
        <w:pStyle w:val="BODY0"/>
        <w:ind w:right="824"/>
      </w:pPr>
      <w:r>
        <w:t>También</w:t>
      </w:r>
      <w:r w:rsidR="004F7598">
        <w:t>,</w:t>
      </w:r>
      <w:r>
        <w:t xml:space="preserve"> </w:t>
      </w:r>
      <w:r w:rsidR="004F7598">
        <w:t>el comportamiento del clúster crítico evidencia una restricción estructural del esquema: aun con el mejor desempeño agregado (k=5), persiste una fracción significativa de demanda no cubierta (ver Tabla</w:t>
      </w:r>
      <w:r w:rsidR="00302151">
        <w:t>.</w:t>
      </w:r>
      <w:r w:rsidR="004F7598">
        <w:t xml:space="preserve"> </w:t>
      </w:r>
      <w:r w:rsidR="00302151">
        <w:t>5</w:t>
      </w:r>
      <w:r w:rsidR="004F7598">
        <w:t xml:space="preserve">), lo que sugiere que el problema no se resuelve únicamente con incrementar la segmentación. Esta persistencia se interpreta desde dos elementos del modelo: (i) la concentración espacial de demanda potencial en zonas vulnerables y (ii) radios de cobertura condicionados por las variables representativas </w:t>
      </w:r>
      <w:r w:rsidR="004F7598">
        <w:lastRenderedPageBreak/>
        <w:t>del clúster, lo que tiende a limitar el alcance del CMT precisamente en los sectores donde se espera mayor afectación y peores condiciones de movilidad. Por ello, la cobertura alcanzada no debe leerse como un máximo “teórico”, sino como una medida del desempeño bajo restricciones de accesibilidad posteriores a un sismo; la Fig</w:t>
      </w:r>
      <w:r w:rsidR="00672D74">
        <w:t>.</w:t>
      </w:r>
      <w:r w:rsidR="004F7598">
        <w:t xml:space="preserve"> </w:t>
      </w:r>
      <w:r w:rsidR="00672D74">
        <w:t>4</w:t>
      </w:r>
      <w:r w:rsidR="004F7598">
        <w:t xml:space="preserve"> permite identificar espacialmente estas brechas y su distribución dentro del territorio urbano.</w:t>
      </w:r>
    </w:p>
    <w:p w14:paraId="2367708D" w14:textId="536E1A64" w:rsidR="00BD053A" w:rsidRPr="00FA1EB5" w:rsidRDefault="004F7598" w:rsidP="004F7598">
      <w:pPr>
        <w:pStyle w:val="BODY0"/>
        <w:ind w:right="824"/>
      </w:pPr>
      <w:r>
        <w:t>Bajo esta lectura, k=5 se consolida como el esquema más equilibrado, no solo por su porcentaje de cobertura, sino porque disminuye el sesgo territorial que se presenta cuando un clúster agrupa demasiados barrios con perfiles distintos y distancias internas altas. La Tabla</w:t>
      </w:r>
      <w:r w:rsidR="009D5161">
        <w:t>. 4</w:t>
      </w:r>
      <w:r>
        <w:t xml:space="preserve"> refuerza este argumento al mostrar, para cada esquema, la localización resultante y la demanda asignada por clúster, permitiendo contrastar la carga potencial que concentraría cada CMT frente a la cobertura efectivamente lograda. En consecuencia, la discusión no se limita a “elegir el mejor k”, sino a evidenciar que la demanda cubierta por clúster constituye un insumo directo para dimensionar la capacidad requerida y para priorizar decisiones posteriores donde el esquema, aun siendo el mejor, deja demanda crítica fuera del radio de atención</w:t>
      </w:r>
      <w:r w:rsidR="00585535">
        <w:t>.</w:t>
      </w:r>
    </w:p>
    <w:p w14:paraId="2AB8A695" w14:textId="25E8538B" w:rsidR="00BD053A" w:rsidRPr="00585535" w:rsidRDefault="00BD053A" w:rsidP="00BD053A">
      <w:pPr>
        <w:pStyle w:val="HEADING10"/>
      </w:pPr>
      <w:r w:rsidRPr="00585535">
        <w:t>5|Conclusiones</w:t>
      </w:r>
      <w:r w:rsidRPr="00585535">
        <w:tab/>
      </w:r>
      <w:r w:rsidRPr="00585535">
        <w:tab/>
      </w:r>
    </w:p>
    <w:p w14:paraId="1F46CB68" w14:textId="1F6C7E7F" w:rsidR="00ED187A" w:rsidRPr="00ED187A" w:rsidRDefault="00ED187A" w:rsidP="00ED187A">
      <w:pPr>
        <w:pStyle w:val="BODY0"/>
        <w:ind w:right="824"/>
      </w:pPr>
      <w:r w:rsidRPr="00ED187A">
        <w:t>En este estudio, el desarrollo y aplicación del modelo multi-fase permitió cumplir el objetivo de proponer esquemas de localización de centros médicos temporales (CMT), integrando de manera coherente la segmentación territorial (clusterización), la definición de una ubicación representativa por clúster y la medición del desempeño mediante indicadores de cobertura a nivel de clúster y ciudad. Con ello, el aporte no se reduce a “obtener ubicaciones”, sino a consolidar un procedimiento reproducible que traduce la decisión de localización en resultados evaluables sobre el territorio, comparables entre escenarios y útiles para la planificación de la respuesta.</w:t>
      </w:r>
    </w:p>
    <w:p w14:paraId="6E43022C" w14:textId="4BFA5291" w:rsidR="00ED187A" w:rsidRPr="00ED187A" w:rsidRDefault="00ED187A" w:rsidP="00ED187A">
      <w:pPr>
        <w:pStyle w:val="BODY0"/>
        <w:ind w:right="824"/>
      </w:pPr>
      <w:r w:rsidRPr="00ED187A">
        <w:t>En términos de resultados obtenidos, se evidencia que la segmentación territorial (k) condiciona de manera decisiva la capacidad del sistema para cubrir demanda, especialmente en la zona más crítica. Al comparar los esquemas evaluados, se observa que el desempeño global de cobertura evoluciona de 52,108% (k=2) a 81,731% (k=3) y 88,050% (k=5), mientras que el clúster crítico mejora de 31,373% a 61,859% y 65,216%, respectivamente, consolidando k=5 como el mejor esquema. Aunque el mayor salto ocurre entre k=2 y k=3, el esquema k=5 se selecciona porque mantiene el mejor desempeño global y, al mismo tiempo, incrementa la cobertura en la zona más vulnerable frente a k=3.</w:t>
      </w:r>
    </w:p>
    <w:p w14:paraId="6168DDBC" w14:textId="43919395" w:rsidR="00ED187A" w:rsidRPr="00ED187A" w:rsidRDefault="00ED187A" w:rsidP="00ED187A">
      <w:pPr>
        <w:pStyle w:val="BODY0"/>
        <w:ind w:right="824"/>
      </w:pPr>
      <w:r w:rsidRPr="00ED187A">
        <w:t>Sin embargo, la conclusión no es únicamente que “k=5 es mayor”, sino que incluso en el mejor escenario persiste una brecha relevante de demanda no cubierta en la zona vulnerable. Por tanto, la localización obtenida por el modelo debe entenderse como un punto de partida para la planificación, que exige medidas complementarias (capacidad, refuerzo operativo, articulación con infraestructura existente o despliegues adicionales) precisamente donde la accesibilidad se restringe con mayor fuerza.</w:t>
      </w:r>
    </w:p>
    <w:p w14:paraId="0639BA8E" w14:textId="0F0F726E" w:rsidR="00BD053A" w:rsidRPr="00ED187A" w:rsidRDefault="00ED187A" w:rsidP="00ED187A">
      <w:pPr>
        <w:pStyle w:val="BODY0"/>
        <w:ind w:right="824"/>
      </w:pPr>
      <w:r w:rsidRPr="00ED187A">
        <w:t>Finalmente, el trabajo aporta al contexto local al evidenciar, con una metodología replicable, que Bucaramanga puede transitar de un diagnóstico general de riesgo a una evaluación cuantitativa de cobertura útil para decisiones de preparación y respuesta. A nivel regional y nacional, el modelo refuerza la necesidad de mejorar la disponibilidad de información local consolidada sobre vulnerabilidad estructural y movilidad en emergencia, con el fin de fortalecer la representatividad de los resultados.</w:t>
      </w:r>
    </w:p>
    <w:p w14:paraId="7D8EEE18" w14:textId="265106FC" w:rsidR="00FC1F0A" w:rsidRPr="00F03179" w:rsidRDefault="00BD053A" w:rsidP="00C17453">
      <w:pPr>
        <w:pStyle w:val="HEADING10"/>
      </w:pPr>
      <w:r w:rsidRPr="00F03179">
        <w:t>Referencias</w:t>
      </w:r>
    </w:p>
    <w:p w14:paraId="4E0D35D2" w14:textId="77777777" w:rsidR="00AD23E6" w:rsidRPr="003B31E2" w:rsidRDefault="00AD23E6" w:rsidP="00AD23E6">
      <w:pPr>
        <w:pStyle w:val="BODY0"/>
      </w:pPr>
      <w:r w:rsidRPr="003B31E2">
        <w:t xml:space="preserve">Aguiar M, L. G., Rentería, R. R., Catumba-Ruiz, J., Barrera, J. O., &amp; Redondo, J. M. (2022). </w:t>
      </w:r>
      <w:r w:rsidRPr="003B31E2">
        <w:rPr>
          <w:lang w:val="en-US"/>
        </w:rPr>
        <w:t xml:space="preserve">Use of discrete event simulation and genetic algorithms to estimate the necessary resources to respond in a timely manner in the Medical Emergency System in Bogotá. </w:t>
      </w:r>
      <w:r w:rsidRPr="003B31E2">
        <w:t>Medwave, 22(3), e002100–e002100. https://doi.org/10.5867/medwave.2022.03.002100</w:t>
      </w:r>
    </w:p>
    <w:p w14:paraId="6BD68C75" w14:textId="77777777" w:rsidR="00AD23E6" w:rsidRPr="003B31E2" w:rsidRDefault="00AD23E6" w:rsidP="00AD23E6">
      <w:pPr>
        <w:pStyle w:val="BODY0"/>
        <w:rPr>
          <w:lang w:val="en-US"/>
        </w:rPr>
      </w:pPr>
      <w:r w:rsidRPr="00F03179">
        <w:t xml:space="preserve">Ahmadi-Javid, A., Seyedi, P., &amp; Syam, S. S. (2017). </w:t>
      </w:r>
      <w:r w:rsidRPr="003B31E2">
        <w:rPr>
          <w:lang w:val="en-US"/>
        </w:rPr>
        <w:t>A survey of healthcare facility location. In Computers and Operations Research (Vol. 79, pp. 223–263). Elsevier Ltd. https://doi.org/10.1016/j.cor.2016.05.018</w:t>
      </w:r>
    </w:p>
    <w:p w14:paraId="05EC688F" w14:textId="77777777" w:rsidR="00AD23E6" w:rsidRPr="003B31E2" w:rsidRDefault="00AD23E6" w:rsidP="00AD23E6">
      <w:pPr>
        <w:pStyle w:val="BODY0"/>
        <w:rPr>
          <w:lang w:val="en-US"/>
        </w:rPr>
      </w:pPr>
      <w:r w:rsidRPr="003B31E2">
        <w:lastRenderedPageBreak/>
        <w:t xml:space="preserve">Camacho-Vallejo, J. F., González-Rodríguez, E., Almaguer, F. J., &amp; González-Ramírez, R. G. (2015). </w:t>
      </w:r>
      <w:r w:rsidRPr="003B31E2">
        <w:rPr>
          <w:lang w:val="en-US"/>
        </w:rPr>
        <w:t>A bi-level optimization model for aid distribution after the occurrence of a disaster. Journal of Cleaner Production, 105, 134–145. https://doi.org/10.1016/j.jclepro.2014.09.069</w:t>
      </w:r>
    </w:p>
    <w:p w14:paraId="4CA4139A" w14:textId="77777777" w:rsidR="00AD23E6" w:rsidRPr="003B31E2" w:rsidRDefault="00AD23E6" w:rsidP="00AD23E6">
      <w:pPr>
        <w:pStyle w:val="BODY0"/>
        <w:rPr>
          <w:lang w:val="en-US"/>
        </w:rPr>
      </w:pPr>
      <w:r w:rsidRPr="00F03179">
        <w:rPr>
          <w:lang w:val="en-US"/>
        </w:rPr>
        <w:t xml:space="preserve">Carnero Quispe, M. F., Chambilla Mamani, L. D., Yoshizaki, H. T. Y., &amp; Brito Junior, I. de. </w:t>
      </w:r>
      <w:r w:rsidRPr="003B31E2">
        <w:rPr>
          <w:lang w:val="en-US"/>
        </w:rPr>
        <w:t>(2025). Temporary Facility Location Problem in Humanitarian Logistics: A Systematic Literature Review. In Logistics (Vol. 9, Issue 1). Multidisciplinary Digital Publishing Institute (MDPI). https://doi.org/10.3390/logistics9010042</w:t>
      </w:r>
    </w:p>
    <w:p w14:paraId="24481FE0" w14:textId="77777777" w:rsidR="00AD23E6" w:rsidRPr="003B31E2" w:rsidRDefault="00AD23E6" w:rsidP="00AD23E6">
      <w:pPr>
        <w:pStyle w:val="BODY0"/>
        <w:rPr>
          <w:lang w:val="en-US"/>
        </w:rPr>
      </w:pPr>
      <w:r w:rsidRPr="003B31E2">
        <w:rPr>
          <w:lang w:val="en-US"/>
        </w:rPr>
        <w:t>Centre for Research on the Epidemiology of Disasters (CRED). (2025). 2024 Disasters in numbers (informe). Brussels,Belgium:CRED https://files.emdat.be/reports/2024_EMDAT_report.pdf</w:t>
      </w:r>
    </w:p>
    <w:p w14:paraId="7DFBA8E4" w14:textId="77777777" w:rsidR="00AD23E6" w:rsidRPr="003B31E2" w:rsidRDefault="00AD23E6" w:rsidP="00AD23E6">
      <w:pPr>
        <w:pStyle w:val="BODY0"/>
        <w:rPr>
          <w:lang w:val="en-US"/>
        </w:rPr>
      </w:pPr>
      <w:r w:rsidRPr="003B31E2">
        <w:rPr>
          <w:lang w:val="en-US"/>
        </w:rPr>
        <w:t>Cozzolino, A. (2012). Humanitarian Logistics. Springer Berlin Heidelberg. https://doi.org/10.1007/978-3-642-30186-5</w:t>
      </w:r>
    </w:p>
    <w:p w14:paraId="3A8B2ED6" w14:textId="77777777" w:rsidR="00AD23E6" w:rsidRPr="003B31E2" w:rsidRDefault="00AD23E6" w:rsidP="00AD23E6">
      <w:pPr>
        <w:pStyle w:val="BODY0"/>
      </w:pPr>
      <w:r w:rsidRPr="003B31E2">
        <w:t>Cuerpo Oficial de Bomberos de Bucaramanga. (2021). Informe de gestión 2021 (Informe de gestión) https://concejobga.cloud/descargas/CONTROL_POLITICO_BOMBEROS_ENERO_2022.pdf</w:t>
      </w:r>
    </w:p>
    <w:p w14:paraId="229E63C5" w14:textId="77777777" w:rsidR="00AD23E6" w:rsidRPr="003B31E2" w:rsidRDefault="00AD23E6" w:rsidP="00AD23E6">
      <w:pPr>
        <w:pStyle w:val="BODY0"/>
      </w:pPr>
      <w:r w:rsidRPr="003B31E2">
        <w:t>Departamento Administrativo Nacional de Estadística (DANE). (2025, 22 de abril). Pobreza multidimensional en Colombia: Año 2024 (Boletín técnico). https://www.dane.gov.co/files/operaciones/PM/bol-PMultidimensional-2024.pdf</w:t>
      </w:r>
    </w:p>
    <w:p w14:paraId="31664805" w14:textId="77777777" w:rsidR="00AD23E6" w:rsidRPr="003B31E2" w:rsidRDefault="00AD23E6" w:rsidP="00AD23E6">
      <w:pPr>
        <w:pStyle w:val="BODY0"/>
      </w:pPr>
      <w:r w:rsidRPr="003B31E2">
        <w:t>Departamento Administrativo Nacional de Estadística (DANE). (s. f.). Estratificación socioeconómica para servicios públicos domiciliarios. https://www.dane.gov.co/index.php/servicios-al-ciudadano/servicios-informacion/estratificacion-socioeconomica</w:t>
      </w:r>
    </w:p>
    <w:p w14:paraId="3BE5BE49" w14:textId="77777777" w:rsidR="00AD23E6" w:rsidRPr="003B31E2" w:rsidRDefault="00AD23E6" w:rsidP="00AD23E6">
      <w:pPr>
        <w:pStyle w:val="BODY0"/>
      </w:pPr>
      <w:r w:rsidRPr="003B31E2">
        <w:t>Dirección de Tránsito de Bucaramanga. (2017). Estudio técnico de la zona centro de Bucaramanga (Estudio técnico). https://transitobucaramanga.gov.co/dtb/wp-content/uploads/2021/09/EstudioTecnicodelaZonaCentrodeBucaramanga.pdf</w:t>
      </w:r>
    </w:p>
    <w:p w14:paraId="197DDAC0" w14:textId="77777777" w:rsidR="00AD23E6" w:rsidRPr="003B31E2" w:rsidRDefault="00AD23E6" w:rsidP="00AD23E6">
      <w:pPr>
        <w:pStyle w:val="BODY0"/>
        <w:rPr>
          <w:lang w:val="en-US"/>
        </w:rPr>
      </w:pPr>
      <w:r w:rsidRPr="003B31E2">
        <w:rPr>
          <w:lang w:val="en-US"/>
        </w:rPr>
        <w:t>Feng, C.-M., &amp; Wang, T.-C. (2003). Highway emergency rehabilitation scheduling in post-earthquake 72 hours. Journal of the Eastern Asia Society for Transportation Studies. https://easts.info/2003journal/papers/3276.pdf</w:t>
      </w:r>
    </w:p>
    <w:p w14:paraId="02DEB251" w14:textId="77777777" w:rsidR="00AD23E6" w:rsidRPr="003B31E2" w:rsidRDefault="00AD23E6" w:rsidP="00AD23E6">
      <w:pPr>
        <w:pStyle w:val="BODY0"/>
        <w:rPr>
          <w:lang w:val="en-US"/>
        </w:rPr>
      </w:pPr>
      <w:r w:rsidRPr="003B31E2">
        <w:t xml:space="preserve">Garrido, A., Pongutá, F., &amp; Buitrago, O. Y. (2022). </w:t>
      </w:r>
      <w:r w:rsidRPr="003B31E2">
        <w:rPr>
          <w:lang w:val="en-US"/>
        </w:rPr>
        <w:t>Relocation of public healthcare network of a large city in the event of a major earthquake: a combined methodological analysis. Journal of Humanitarian Logistics and Supply Chain Management, 12(2), 220–248. https://doi.org/10.1108/JHLSCM-04-2021-0040</w:t>
      </w:r>
    </w:p>
    <w:p w14:paraId="1CD23D5C" w14:textId="77777777" w:rsidR="00AD23E6" w:rsidRPr="003B31E2" w:rsidRDefault="00AD23E6" w:rsidP="00AD23E6">
      <w:pPr>
        <w:pStyle w:val="BODY0"/>
        <w:rPr>
          <w:lang w:val="en-US"/>
        </w:rPr>
      </w:pPr>
      <w:r w:rsidRPr="003B31E2">
        <w:rPr>
          <w:lang w:val="en-US"/>
        </w:rPr>
        <w:t>Gower, J. C. (1971). A general coefficient of similarity and some of its properties. Biometrics, 857-871.</w:t>
      </w:r>
    </w:p>
    <w:p w14:paraId="68C89E8F" w14:textId="77777777" w:rsidR="00AD23E6" w:rsidRPr="003B31E2" w:rsidRDefault="00AD23E6" w:rsidP="00AD23E6">
      <w:pPr>
        <w:pStyle w:val="BODY0"/>
        <w:rPr>
          <w:lang w:val="en-US"/>
        </w:rPr>
      </w:pPr>
      <w:r w:rsidRPr="003B31E2">
        <w:rPr>
          <w:lang w:val="en-US"/>
        </w:rPr>
        <w:t xml:space="preserve">Kadosh, S. C., </w:t>
      </w:r>
      <w:proofErr w:type="spellStart"/>
      <w:r w:rsidRPr="003B31E2">
        <w:rPr>
          <w:lang w:val="en-US"/>
        </w:rPr>
        <w:t>Sinuany</w:t>
      </w:r>
      <w:proofErr w:type="spellEnd"/>
      <w:r w:rsidRPr="003B31E2">
        <w:rPr>
          <w:lang w:val="en-US"/>
        </w:rPr>
        <w:t>-Stern, Z., &amp; Bitan, Y. (2023). Location of Emergency Treatment Sites after Earthquake using Hybrid Simulation. Tehnicki Glasnik, 17(3), 391–396. https://doi.org/10.31803/tg-20230511184836</w:t>
      </w:r>
    </w:p>
    <w:p w14:paraId="5283A258" w14:textId="77777777" w:rsidR="00AD23E6" w:rsidRPr="00F03179" w:rsidRDefault="00AD23E6" w:rsidP="00AD23E6">
      <w:pPr>
        <w:pStyle w:val="BODY0"/>
      </w:pPr>
      <w:r w:rsidRPr="003B31E2">
        <w:rPr>
          <w:lang w:val="en-US"/>
        </w:rPr>
        <w:t xml:space="preserve">Kaufman, L., &amp; Rousseeuw, P. J. (1987). Clustering by means of medoids. </w:t>
      </w:r>
      <w:proofErr w:type="spellStart"/>
      <w:r w:rsidRPr="00F03179">
        <w:t>Statistical</w:t>
      </w:r>
      <w:proofErr w:type="spellEnd"/>
    </w:p>
    <w:p w14:paraId="0A6BE519" w14:textId="77777777" w:rsidR="00AD23E6" w:rsidRPr="003B31E2" w:rsidRDefault="00AD23E6" w:rsidP="00AD23E6">
      <w:pPr>
        <w:pStyle w:val="BODY0"/>
      </w:pPr>
      <w:r w:rsidRPr="003B31E2">
        <w:t>Maldonado Rondòn, E., &amp; Chio Cho, G. (2005). Identificación de las zonas sísmicamente más vulnerables en la ciudad de Bucaramanga. Revista UIS Ingenierías, 4(2), 99–116. Recuperado a partir de https://revistas.uis.edu.co/index.php/revistauisingenierias/article/view/1961</w:t>
      </w:r>
    </w:p>
    <w:p w14:paraId="14E05ED4" w14:textId="77777777" w:rsidR="00AD23E6" w:rsidRPr="003B31E2" w:rsidRDefault="00AD23E6" w:rsidP="00AD23E6">
      <w:pPr>
        <w:pStyle w:val="BODY0"/>
        <w:rPr>
          <w:lang w:val="en-US"/>
        </w:rPr>
      </w:pPr>
      <w:r w:rsidRPr="003B31E2">
        <w:t xml:space="preserve">Mazloum, M., Ahmadi nezhad, A. M., Bakhshi, A., Rabbani, M., &amp; Aghsami, A. (2024). </w:t>
      </w:r>
      <w:r w:rsidRPr="003B31E2">
        <w:rPr>
          <w:lang w:val="en-US"/>
        </w:rPr>
        <w:t>An integrated relief pre-positioning, procurement planning, and casualty type’s allocation in a humanitarian supply chain. International Journal of Systems Science: Operations and Logistics, 11(1). https://doi.org/10.1080/23302674.2024.2436193</w:t>
      </w:r>
    </w:p>
    <w:p w14:paraId="462B110D" w14:textId="77777777" w:rsidR="00AD23E6" w:rsidRPr="003B31E2" w:rsidRDefault="00AD23E6" w:rsidP="00AD23E6">
      <w:pPr>
        <w:pStyle w:val="BODY0"/>
        <w:rPr>
          <w:lang w:val="en-US"/>
        </w:rPr>
      </w:pPr>
      <w:r w:rsidRPr="003B31E2">
        <w:rPr>
          <w:lang w:val="en-US"/>
        </w:rPr>
        <w:t>Oksuz, M. K., &amp; Satoglu, S. I. (2024). Integrated optimization of facility location, casualty allocation and medical staff planning for post-disaster emergency response. Journal of Humanitarian Logistics and Supply Chain Management, 14(3), 285–303. https://doi.org/10.1108/JHLSCM-08-2023-0072</w:t>
      </w:r>
    </w:p>
    <w:p w14:paraId="4EC1D97E" w14:textId="77777777" w:rsidR="00AD23E6" w:rsidRPr="003B31E2" w:rsidRDefault="00AD23E6" w:rsidP="00AD23E6">
      <w:pPr>
        <w:pStyle w:val="BODY0"/>
        <w:rPr>
          <w:lang w:val="en-US"/>
        </w:rPr>
      </w:pPr>
      <w:r w:rsidRPr="003B31E2">
        <w:rPr>
          <w:lang w:val="en-US"/>
        </w:rPr>
        <w:lastRenderedPageBreak/>
        <w:t>Pons, P. T., &amp; Markovchick, V. J. (2002). Eight minutes or less: does the ambulance response time guideline impact trauma patient outcome? The Journal of Emergency Medicine, 23(1), 43–48. https://doi.org/10.1016/S0736-4679(02)00460-2</w:t>
      </w:r>
    </w:p>
    <w:p w14:paraId="7EF0DEC1" w14:textId="77777777" w:rsidR="00AD23E6" w:rsidRPr="003B31E2" w:rsidRDefault="00AD23E6" w:rsidP="00AD23E6">
      <w:pPr>
        <w:pStyle w:val="BODY0"/>
        <w:rPr>
          <w:lang w:val="en-US"/>
        </w:rPr>
      </w:pPr>
      <w:r w:rsidRPr="003B31E2">
        <w:rPr>
          <w:lang w:val="en-US"/>
        </w:rPr>
        <w:t>Sun, H., Li, J., Wang, T., &amp; Xue, Y. (2022). A novel scenario-based robust bi-objective optimization model for humanitarian logistics network under risk of disruptions. Transportation Research Part E: Logistics and Transportation Review, 157. https://doi.org/10.1016/j.tre.2021.102578</w:t>
      </w:r>
    </w:p>
    <w:p w14:paraId="583216C9" w14:textId="77777777" w:rsidR="00AD23E6" w:rsidRPr="003B31E2" w:rsidRDefault="00AD23E6" w:rsidP="00AD23E6">
      <w:pPr>
        <w:pStyle w:val="BODY0"/>
        <w:rPr>
          <w:lang w:val="en-US"/>
        </w:rPr>
      </w:pPr>
      <w:r w:rsidRPr="003B31E2">
        <w:rPr>
          <w:lang w:val="en-US"/>
        </w:rPr>
        <w:t>Thomas, A., &amp; Kopczak, L. (2005). From logistics to supplychain management: The path forward in the humanitarian sector, white paper, Fritz Institute, San Francisco, CA.</w:t>
      </w:r>
    </w:p>
    <w:p w14:paraId="41DF2C5F" w14:textId="77777777" w:rsidR="00AD23E6" w:rsidRPr="003B31E2" w:rsidRDefault="00AD23E6" w:rsidP="00AD23E6">
      <w:pPr>
        <w:pStyle w:val="BODY0"/>
        <w:rPr>
          <w:lang w:val="en-US"/>
        </w:rPr>
      </w:pPr>
      <w:r w:rsidRPr="003B31E2">
        <w:rPr>
          <w:lang w:val="en-US"/>
        </w:rPr>
        <w:t>Trivedi, A., &amp; Singh, A. (2017). A hybrid multi-objective decision model for emergency shelter location-relocation projects using fuzzy analytic hierarchy process and goal programming approach. International Journal of Project Management, 35(5), 827–840. https://doi.org/10.1016/j.ijproman.2016.12.004</w:t>
      </w:r>
    </w:p>
    <w:p w14:paraId="29B6071B" w14:textId="77777777" w:rsidR="00AD23E6" w:rsidRPr="003B31E2" w:rsidRDefault="00AD23E6" w:rsidP="00AD23E6">
      <w:pPr>
        <w:pStyle w:val="BODY0"/>
      </w:pPr>
      <w:r w:rsidRPr="003B31E2">
        <w:t>UMGRDCC. (2021). Plan Municipal de Gestión de Riesgo de Desastre y su Adaptación al Cambio Climático (PMGRDCC), Bucaramanga</w:t>
      </w:r>
    </w:p>
    <w:p w14:paraId="4C1CBD3B" w14:textId="77777777" w:rsidR="00AD23E6" w:rsidRPr="00AD23E6" w:rsidRDefault="00AD23E6" w:rsidP="00AD23E6">
      <w:pPr>
        <w:pStyle w:val="BODY0"/>
        <w:rPr>
          <w:lang w:val="en-US"/>
        </w:rPr>
      </w:pPr>
      <w:r w:rsidRPr="003B31E2">
        <w:rPr>
          <w:lang w:val="en-US"/>
        </w:rPr>
        <w:t>Yi, W., &amp; Özdamar, L. (2007). A dynamic logistics coordination model for evacuation and support in disaster response activities. European Journal of Operational Research, 179(3), 1177–1193. https://doi.org/10.1016/j.ejor.2005.03.077</w:t>
      </w:r>
    </w:p>
    <w:p w14:paraId="67D02E51" w14:textId="77777777" w:rsidR="006173C9" w:rsidRPr="00F03179" w:rsidRDefault="006173C9" w:rsidP="00657C84">
      <w:pPr>
        <w:pStyle w:val="BODY0"/>
        <w:ind w:left="0"/>
        <w:rPr>
          <w:lang w:val="en-US"/>
        </w:rPr>
      </w:pPr>
    </w:p>
    <w:sectPr w:rsidR="006173C9" w:rsidRPr="00F03179" w:rsidSect="003D37E5">
      <w:headerReference w:type="even" r:id="rId14"/>
      <w:headerReference w:type="default" r:id="rId15"/>
      <w:footerReference w:type="even" r:id="rId16"/>
      <w:footerReference w:type="default" r:id="rId17"/>
      <w:footerReference w:type="first" r:id="rId18"/>
      <w:footnotePr>
        <w:numRestart w:val="eachPage"/>
      </w:footnotePr>
      <w:pgSz w:w="11909" w:h="16834" w:code="9"/>
      <w:pgMar w:top="1021" w:right="737" w:bottom="1021" w:left="737" w:header="850" w:footer="62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332A" w14:textId="77777777" w:rsidR="003562CC" w:rsidRPr="00BD053A" w:rsidRDefault="003562CC" w:rsidP="00FA44F9">
      <w:r w:rsidRPr="00BD053A">
        <w:separator/>
      </w:r>
    </w:p>
  </w:endnote>
  <w:endnote w:type="continuationSeparator" w:id="0">
    <w:p w14:paraId="7DC59388" w14:textId="77777777" w:rsidR="003562CC" w:rsidRPr="00BD053A" w:rsidRDefault="003562CC" w:rsidP="00FA44F9">
      <w:r w:rsidRPr="00BD053A">
        <w:continuationSeparator/>
      </w:r>
    </w:p>
  </w:endnote>
  <w:endnote w:type="continuationNotice" w:id="1">
    <w:p w14:paraId="358E37A1" w14:textId="77777777" w:rsidR="003562CC" w:rsidRPr="00BD053A" w:rsidRDefault="003562C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IRLotus">
    <w:altName w:val="Arial"/>
    <w:charset w:val="00"/>
    <w:family w:val="auto"/>
    <w:pitch w:val="variable"/>
    <w:sig w:usb0="00002003" w:usb1="00000000" w:usb2="00000000" w:usb3="00000000" w:csb0="00000041" w:csb1="00000000"/>
  </w:font>
  <w:font w:name="Calibri">
    <w:panose1 w:val="020F0502020204030204"/>
    <w:charset w:val="00"/>
    <w:family w:val="swiss"/>
    <w:pitch w:val="variable"/>
    <w:sig w:usb0="E4002EFF" w:usb1="C200247B" w:usb2="00000009" w:usb3="00000000" w:csb0="000001F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XB Kayhan">
    <w:altName w:val="Arial"/>
    <w:charset w:val="00"/>
    <w:family w:val="auto"/>
    <w:pitch w:val="variable"/>
    <w:sig w:usb0="00002007" w:usb1="80000000" w:usb2="00000008" w:usb3="00000000" w:csb0="0000005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 Lotus">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IRTitr">
    <w:charset w:val="00"/>
    <w:family w:val="auto"/>
    <w:pitch w:val="variable"/>
    <w:sig w:usb0="00002003" w:usb1="00000000" w:usb2="00000000" w:usb3="00000000" w:csb0="00000041" w:csb1="00000000"/>
  </w:font>
  <w:font w:name="IRNazanin">
    <w:charset w:val="00"/>
    <w:family w:val="auto"/>
    <w:pitch w:val="variable"/>
    <w:sig w:usb0="00002003" w:usb1="00000000" w:usb2="00000000" w:usb3="00000000" w:csb0="00000041" w:csb1="00000000"/>
  </w:font>
  <w:font w:name="B Compset">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2  Mitra">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Nazanin">
    <w:charset w:val="B2"/>
    <w:family w:val="auto"/>
    <w:pitch w:val="variable"/>
    <w:sig w:usb0="00002001" w:usb1="00000000" w:usb2="00000000" w:usb3="00000000" w:csb0="00000040" w:csb1="00000000"/>
  </w:font>
  <w:font w:name="Lotus">
    <w:charset w:val="B2"/>
    <w:family w:val="auto"/>
    <w:pitch w:val="variable"/>
    <w:sig w:usb0="00002001"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Burlak">
    <w:charset w:val="00"/>
    <w:family w:val="script"/>
    <w:pitch w:val="variable"/>
    <w:sig w:usb0="80000203" w:usb1="00000000" w:usb2="00000000" w:usb3="00000000" w:csb0="00000005" w:csb1="00000000"/>
  </w:font>
  <w:font w:name="B Zar">
    <w:charset w:val="B2"/>
    <w:family w:val="auto"/>
    <w:pitch w:val="variable"/>
    <w:sig w:usb0="00002001" w:usb1="80000000" w:usb2="00000008" w:usb3="00000000" w:csb0="00000040"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00000000" w:usb2="00000000"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Adobe Devanagari">
    <w:altName w:val="Times New Roman"/>
    <w:panose1 w:val="00000000000000000000"/>
    <w:charset w:val="00"/>
    <w:family w:val="roman"/>
    <w:notTrueType/>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aramond Pro">
    <w:altName w:val="Garamond"/>
    <w:panose1 w:val="00000000000000000000"/>
    <w:charset w:val="00"/>
    <w:family w:val="roman"/>
    <w:notTrueType/>
    <w:pitch w:val="variable"/>
    <w:sig w:usb0="00000007" w:usb1="00000001"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0AAC9" w14:textId="2DACC4AD" w:rsidR="00E116FE" w:rsidRPr="00BD053A" w:rsidRDefault="00E116FE" w:rsidP="007B74CC">
    <w:pPr>
      <w:pStyle w:val="Piedepgina"/>
      <w:spacing w:before="100" w:afterAutospacing="0"/>
      <w:jc w:val="left"/>
      <w:rPr>
        <w:sz w:val="24"/>
        <w:szCs w:val="2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70B4B" w14:textId="410E764D" w:rsidR="00E116FE" w:rsidRPr="00BD053A" w:rsidRDefault="00E116FE" w:rsidP="00C62754">
    <w:pPr>
      <w:pStyle w:val="Piedepgina"/>
      <w:spacing w:before="100" w:after="120" w:afterAutospacing="0"/>
      <w:rPr>
        <w:rFonts w:ascii="Garamond" w:hAnsi="Garamond"/>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1CF0" w14:textId="144A296E" w:rsidR="000E04F6" w:rsidRPr="00E277E9" w:rsidRDefault="000E04F6" w:rsidP="00E531BF">
    <w:pPr>
      <w:pStyle w:val="Affiliation"/>
      <w:framePr w:hSpace="0" w:wrap="auto" w:vAnchor="margin" w:hAnchor="text" w:xAlign="left" w:yAlign="inline"/>
      <w:ind w:left="1134"/>
      <w:suppressOverlap w:val="0"/>
      <w:rPr>
        <w:rFonts w:ascii="Palatino Linotype" w:hAnsi="Palatino Linotype"/>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EBE95" w14:textId="77777777" w:rsidR="003562CC" w:rsidRPr="00BD053A" w:rsidRDefault="003562CC" w:rsidP="00FA44F9">
      <w:pPr>
        <w:bidi w:val="0"/>
      </w:pPr>
      <w:r w:rsidRPr="00BD053A">
        <w:separator/>
      </w:r>
    </w:p>
  </w:footnote>
  <w:footnote w:type="continuationSeparator" w:id="0">
    <w:p w14:paraId="1510D80A" w14:textId="77777777" w:rsidR="003562CC" w:rsidRPr="00BD053A" w:rsidRDefault="003562CC" w:rsidP="00FA44F9">
      <w:r w:rsidRPr="00BD053A">
        <w:continuationSeparator/>
      </w:r>
    </w:p>
  </w:footnote>
  <w:footnote w:type="continuationNotice" w:id="1">
    <w:p w14:paraId="2D6038A1" w14:textId="77777777" w:rsidR="003562CC" w:rsidRPr="00BD053A" w:rsidRDefault="003562CC" w:rsidP="00FA4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tl/>
      </w:rPr>
      <w:id w:val="-1200926988"/>
      <w:docPartObj>
        <w:docPartGallery w:val="Page Numbers (Top of Page)"/>
        <w:docPartUnique/>
      </w:docPartObj>
    </w:sdtPr>
    <w:sdtContent>
      <w:p w14:paraId="30B67E5E" w14:textId="01707402" w:rsidR="00731FEA" w:rsidRPr="00BD053A" w:rsidRDefault="00731FEA" w:rsidP="00C1356F">
        <w:pPr>
          <w:pStyle w:val="Encabezado"/>
          <w:framePr w:w="1308" w:h="376" w:hRule="exact" w:wrap="none" w:vAnchor="text" w:hAnchor="page" w:x="9827" w:y="2"/>
          <w:rPr>
            <w:rStyle w:val="Nmerodepgina"/>
          </w:rPr>
        </w:pPr>
        <w:r w:rsidRPr="00BD053A">
          <w:rPr>
            <w:rStyle w:val="Nmerodepgina"/>
            <w:rFonts w:ascii="Garamond" w:hAnsi="Garamond" w:cstheme="majorBidi"/>
            <w:b/>
            <w:bCs/>
            <w:sz w:val="18"/>
            <w:szCs w:val="18"/>
            <w:rtl/>
          </w:rPr>
          <w:fldChar w:fldCharType="begin"/>
        </w:r>
        <w:r w:rsidRPr="00BD053A">
          <w:rPr>
            <w:rStyle w:val="Nmerodepgina"/>
            <w:rFonts w:ascii="Garamond" w:hAnsi="Garamond" w:cstheme="majorBidi"/>
            <w:b/>
            <w:bCs/>
            <w:sz w:val="18"/>
            <w:szCs w:val="18"/>
          </w:rPr>
          <w:instrText xml:space="preserve"> PAGE </w:instrText>
        </w:r>
        <w:r w:rsidRPr="00BD053A">
          <w:rPr>
            <w:rStyle w:val="Nmerodepgina"/>
            <w:rFonts w:ascii="Garamond" w:hAnsi="Garamond" w:cstheme="majorBidi"/>
            <w:b/>
            <w:bCs/>
            <w:sz w:val="18"/>
            <w:szCs w:val="18"/>
            <w:rtl/>
          </w:rPr>
          <w:fldChar w:fldCharType="separate"/>
        </w:r>
        <w:r w:rsidRPr="00BD053A">
          <w:rPr>
            <w:rStyle w:val="Nmerodepgina"/>
            <w:rFonts w:ascii="Garamond" w:hAnsi="Garamond" w:cstheme="majorBidi"/>
            <w:b/>
            <w:bCs/>
            <w:sz w:val="18"/>
            <w:szCs w:val="18"/>
            <w:rtl/>
          </w:rPr>
          <w:t>2</w:t>
        </w:r>
        <w:r w:rsidRPr="00BD053A">
          <w:rPr>
            <w:rStyle w:val="Nmerodepgina"/>
            <w:rFonts w:ascii="Garamond" w:hAnsi="Garamond" w:cstheme="majorBidi"/>
            <w:b/>
            <w:bCs/>
            <w:sz w:val="18"/>
            <w:szCs w:val="18"/>
            <w:rtl/>
          </w:rPr>
          <w:fldChar w:fldCharType="end"/>
        </w:r>
        <w:r w:rsidRPr="00BD053A">
          <w:rPr>
            <w:rStyle w:val="Nmerodepgina"/>
          </w:rPr>
          <w:tab/>
        </w:r>
        <w:r w:rsidRPr="00BD053A">
          <w:rPr>
            <w:rStyle w:val="Nmerodepgina"/>
          </w:rPr>
          <w:tab/>
        </w:r>
        <w:r w:rsidRPr="00BD053A">
          <w:rPr>
            <w:rStyle w:val="Nmerodepgina"/>
          </w:rPr>
          <w:tab/>
        </w:r>
      </w:p>
    </w:sdtContent>
  </w:sdt>
  <w:p w14:paraId="06468B28" w14:textId="422B230F" w:rsidR="00FF649C" w:rsidRPr="00BD053A" w:rsidRDefault="00FF649C" w:rsidP="00BD053A">
    <w:pPr>
      <w:pBdr>
        <w:bottom w:val="single" w:sz="4" w:space="1" w:color="000000"/>
      </w:pBdr>
      <w:bidi w:val="0"/>
      <w:ind w:left="0"/>
      <w:rPr>
        <w:rFonts w:ascii="Times New Roman" w:eastAsia="Times New Roman" w:hAnsi="Times New Roman" w:cs="Times New Roman"/>
        <w:b/>
        <w:bCs/>
        <w:i/>
        <w:iCs/>
        <w:sz w:val="16"/>
        <w:szCs w:val="16"/>
        <w:rtl/>
        <w:lang w:bidi="fa-I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2085369241"/>
      <w:docPartObj>
        <w:docPartGallery w:val="Page Numbers (Top of Page)"/>
        <w:docPartUnique/>
      </w:docPartObj>
    </w:sdtPr>
    <w:sdtContent>
      <w:p w14:paraId="34E26AB8" w14:textId="04D2C008" w:rsidR="00690F51" w:rsidRPr="00E277E9" w:rsidRDefault="00690F51" w:rsidP="00690F51">
        <w:pPr>
          <w:framePr w:w="1308" w:h="376" w:hRule="exact" w:wrap="none" w:vAnchor="text" w:hAnchor="page" w:x="715" w:y="-73"/>
          <w:tabs>
            <w:tab w:val="center" w:pos="4680"/>
            <w:tab w:val="right" w:pos="9360"/>
          </w:tabs>
          <w:spacing w:before="0" w:after="0"/>
          <w:rPr>
            <w:lang w:val="en-US"/>
          </w:rPr>
        </w:pPr>
        <w:r w:rsidRPr="00BD053A">
          <w:rPr>
            <w:rFonts w:ascii="Garamond" w:hAnsi="Garamond" w:cstheme="majorBidi"/>
            <w:b/>
            <w:bCs/>
            <w:sz w:val="18"/>
            <w:szCs w:val="18"/>
            <w:rtl/>
          </w:rPr>
          <w:fldChar w:fldCharType="begin"/>
        </w:r>
        <w:r w:rsidRPr="00E277E9">
          <w:rPr>
            <w:rFonts w:ascii="Garamond" w:hAnsi="Garamond" w:cstheme="majorBidi"/>
            <w:b/>
            <w:bCs/>
            <w:sz w:val="18"/>
            <w:szCs w:val="18"/>
            <w:lang w:val="en-US"/>
          </w:rPr>
          <w:instrText xml:space="preserve"> PAGE </w:instrText>
        </w:r>
        <w:r w:rsidRPr="00BD053A">
          <w:rPr>
            <w:rFonts w:ascii="Garamond" w:hAnsi="Garamond" w:cstheme="majorBidi"/>
            <w:b/>
            <w:bCs/>
            <w:sz w:val="18"/>
            <w:szCs w:val="18"/>
            <w:rtl/>
          </w:rPr>
          <w:fldChar w:fldCharType="separate"/>
        </w:r>
        <w:r w:rsidRPr="00BD053A">
          <w:rPr>
            <w:rFonts w:ascii="Garamond" w:hAnsi="Garamond" w:cstheme="majorBidi"/>
            <w:b/>
            <w:bCs/>
            <w:sz w:val="18"/>
            <w:szCs w:val="18"/>
            <w:rtl/>
          </w:rPr>
          <w:t>4</w:t>
        </w:r>
        <w:r w:rsidRPr="00BD053A">
          <w:rPr>
            <w:rFonts w:ascii="Garamond" w:hAnsi="Garamond" w:cstheme="majorBidi"/>
            <w:b/>
            <w:bCs/>
            <w:sz w:val="18"/>
            <w:szCs w:val="18"/>
            <w:rtl/>
          </w:rPr>
          <w:fldChar w:fldCharType="end"/>
        </w:r>
        <w:r w:rsidRPr="00E277E9">
          <w:rPr>
            <w:lang w:val="en-US"/>
          </w:rPr>
          <w:tab/>
        </w:r>
        <w:r w:rsidRPr="00E277E9">
          <w:rPr>
            <w:lang w:val="en-US"/>
          </w:rPr>
          <w:tab/>
        </w:r>
        <w:r w:rsidRPr="00E277E9">
          <w:rPr>
            <w:lang w:val="en-US"/>
          </w:rPr>
          <w:tab/>
        </w:r>
      </w:p>
    </w:sdtContent>
  </w:sdt>
  <w:p w14:paraId="6D24D68E" w14:textId="6E1E1045" w:rsidR="00690F51" w:rsidRPr="00BD053A" w:rsidRDefault="00000000" w:rsidP="000723F4">
    <w:pPr>
      <w:pBdr>
        <w:bottom w:val="single" w:sz="4" w:space="1" w:color="000000"/>
      </w:pBdr>
      <w:bidi w:val="0"/>
      <w:ind w:firstLine="360"/>
      <w:jc w:val="right"/>
      <w:rPr>
        <w:rFonts w:ascii="Times New Roman" w:eastAsia="Times New Roman" w:hAnsi="Times New Roman" w:cs="Times New Roman"/>
        <w:b/>
        <w:bCs/>
        <w:i/>
        <w:iCs/>
        <w:sz w:val="16"/>
        <w:szCs w:val="16"/>
        <w:rtl/>
        <w:lang w:bidi="fa-IR"/>
      </w:rPr>
    </w:pPr>
    <w:sdt>
      <w:sdtPr>
        <w:id w:val="1230566990"/>
        <w:docPartObj>
          <w:docPartGallery w:val="Page Numbers (Margins)"/>
          <w:docPartUnique/>
        </w:docPartObj>
      </w:sdtP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6656B4"/>
    <w:lvl w:ilvl="0">
      <w:start w:val="1"/>
      <w:numFmt w:val="decimal"/>
      <w:pStyle w:val="Listaconnmeros"/>
      <w:lvlText w:val="%1."/>
      <w:lvlJc w:val="left"/>
      <w:pPr>
        <w:tabs>
          <w:tab w:val="num" w:pos="360"/>
        </w:tabs>
        <w:ind w:left="360" w:hanging="360"/>
      </w:pPr>
    </w:lvl>
  </w:abstractNum>
  <w:abstractNum w:abstractNumId="1"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2"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887A58"/>
    <w:multiLevelType w:val="hybridMultilevel"/>
    <w:tmpl w:val="AB1E0758"/>
    <w:lvl w:ilvl="0" w:tplc="28E07EC0">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36D8C"/>
    <w:multiLevelType w:val="hybridMultilevel"/>
    <w:tmpl w:val="B4FA5046"/>
    <w:lvl w:ilvl="0" w:tplc="0D9A1DF0">
      <w:start w:val="1"/>
      <w:numFmt w:val="decimal"/>
      <w:pStyle w:val="Reference"/>
      <w:lvlText w:val="[%1]"/>
      <w:lvlJc w:val="left"/>
      <w:pPr>
        <w:ind w:left="360" w:hanging="360"/>
      </w:pPr>
      <w:rPr>
        <w:specVanish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2245968"/>
    <w:multiLevelType w:val="hybridMultilevel"/>
    <w:tmpl w:val="8C369CC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0"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5615AC"/>
    <w:multiLevelType w:val="hybridMultilevel"/>
    <w:tmpl w:val="C6B6E68C"/>
    <w:lvl w:ilvl="0" w:tplc="088A1682">
      <w:start w:val="1"/>
      <w:numFmt w:val="decimal"/>
      <w:lvlText w:val="[%1]"/>
      <w:lvlJc w:val="left"/>
      <w:pPr>
        <w:ind w:left="1627" w:hanging="360"/>
      </w:pPr>
      <w:rPr>
        <w:rFonts w:hint="default"/>
        <w:sz w:val="20"/>
        <w:szCs w:val="22"/>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3"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42C54"/>
    <w:multiLevelType w:val="hybridMultilevel"/>
    <w:tmpl w:val="2C6A6B6E"/>
    <w:lvl w:ilvl="0" w:tplc="F0F2FE02">
      <w:start w:val="1"/>
      <w:numFmt w:val="bullet"/>
      <w:pStyle w:val="Bullet"/>
      <w:lvlText w:val=""/>
      <w:lvlJc w:val="left"/>
      <w:pPr>
        <w:ind w:left="958" w:hanging="360"/>
      </w:pPr>
      <w:rPr>
        <w:rFonts w:ascii="Symbol" w:hAnsi="Symbol" w:cs="IRLotus" w:hint="default"/>
        <w:bCs/>
        <w:iCs w:val="0"/>
        <w:szCs w:val="24"/>
      </w:rPr>
    </w:lvl>
    <w:lvl w:ilvl="1" w:tplc="04090003" w:tentative="1">
      <w:start w:val="1"/>
      <w:numFmt w:val="bullet"/>
      <w:lvlText w:val="o"/>
      <w:lvlJc w:val="left"/>
      <w:pPr>
        <w:ind w:left="1678" w:hanging="360"/>
      </w:pPr>
      <w:rPr>
        <w:rFonts w:ascii="Courier New" w:hAnsi="Courier New" w:cs="Courier New" w:hint="default"/>
      </w:rPr>
    </w:lvl>
    <w:lvl w:ilvl="2" w:tplc="04090005" w:tentative="1">
      <w:start w:val="1"/>
      <w:numFmt w:val="bullet"/>
      <w:lvlText w:val=""/>
      <w:lvlJc w:val="left"/>
      <w:pPr>
        <w:ind w:left="2398" w:hanging="360"/>
      </w:pPr>
      <w:rPr>
        <w:rFonts w:ascii="Wingdings" w:hAnsi="Wingdings" w:hint="default"/>
      </w:rPr>
    </w:lvl>
    <w:lvl w:ilvl="3" w:tplc="04090001" w:tentative="1">
      <w:start w:val="1"/>
      <w:numFmt w:val="bullet"/>
      <w:lvlText w:val=""/>
      <w:lvlJc w:val="left"/>
      <w:pPr>
        <w:ind w:left="3118" w:hanging="360"/>
      </w:pPr>
      <w:rPr>
        <w:rFonts w:ascii="Symbol" w:hAnsi="Symbol" w:hint="default"/>
      </w:rPr>
    </w:lvl>
    <w:lvl w:ilvl="4" w:tplc="04090003" w:tentative="1">
      <w:start w:val="1"/>
      <w:numFmt w:val="bullet"/>
      <w:lvlText w:val="o"/>
      <w:lvlJc w:val="left"/>
      <w:pPr>
        <w:ind w:left="3838" w:hanging="360"/>
      </w:pPr>
      <w:rPr>
        <w:rFonts w:ascii="Courier New" w:hAnsi="Courier New" w:cs="Courier New" w:hint="default"/>
      </w:rPr>
    </w:lvl>
    <w:lvl w:ilvl="5" w:tplc="04090005" w:tentative="1">
      <w:start w:val="1"/>
      <w:numFmt w:val="bullet"/>
      <w:lvlText w:val=""/>
      <w:lvlJc w:val="left"/>
      <w:pPr>
        <w:ind w:left="4558" w:hanging="360"/>
      </w:pPr>
      <w:rPr>
        <w:rFonts w:ascii="Wingdings" w:hAnsi="Wingdings" w:hint="default"/>
      </w:rPr>
    </w:lvl>
    <w:lvl w:ilvl="6" w:tplc="04090001" w:tentative="1">
      <w:start w:val="1"/>
      <w:numFmt w:val="bullet"/>
      <w:lvlText w:val=""/>
      <w:lvlJc w:val="left"/>
      <w:pPr>
        <w:ind w:left="5278" w:hanging="360"/>
      </w:pPr>
      <w:rPr>
        <w:rFonts w:ascii="Symbol" w:hAnsi="Symbol" w:hint="default"/>
      </w:rPr>
    </w:lvl>
    <w:lvl w:ilvl="7" w:tplc="04090003" w:tentative="1">
      <w:start w:val="1"/>
      <w:numFmt w:val="bullet"/>
      <w:lvlText w:val="o"/>
      <w:lvlJc w:val="left"/>
      <w:pPr>
        <w:ind w:left="5998" w:hanging="360"/>
      </w:pPr>
      <w:rPr>
        <w:rFonts w:ascii="Courier New" w:hAnsi="Courier New" w:cs="Courier New" w:hint="default"/>
      </w:rPr>
    </w:lvl>
    <w:lvl w:ilvl="8" w:tplc="04090005" w:tentative="1">
      <w:start w:val="1"/>
      <w:numFmt w:val="bullet"/>
      <w:lvlText w:val=""/>
      <w:lvlJc w:val="left"/>
      <w:pPr>
        <w:ind w:left="6718" w:hanging="360"/>
      </w:pPr>
      <w:rPr>
        <w:rFonts w:ascii="Wingdings" w:hAnsi="Wingdings" w:hint="default"/>
      </w:rPr>
    </w:lvl>
  </w:abstractNum>
  <w:abstractNum w:abstractNumId="15"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17"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19"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377246776">
    <w:abstractNumId w:val="0"/>
  </w:num>
  <w:num w:numId="2" w16cid:durableId="922563656">
    <w:abstractNumId w:val="13"/>
  </w:num>
  <w:num w:numId="3" w16cid:durableId="1861778548">
    <w:abstractNumId w:val="11"/>
  </w:num>
  <w:num w:numId="4" w16cid:durableId="764351322">
    <w:abstractNumId w:val="5"/>
  </w:num>
  <w:num w:numId="5" w16cid:durableId="2055109150">
    <w:abstractNumId w:val="6"/>
  </w:num>
  <w:num w:numId="6" w16cid:durableId="1714188320">
    <w:abstractNumId w:val="16"/>
  </w:num>
  <w:num w:numId="7" w16cid:durableId="1103496398">
    <w:abstractNumId w:val="19"/>
  </w:num>
  <w:num w:numId="8" w16cid:durableId="1827895311">
    <w:abstractNumId w:val="18"/>
  </w:num>
  <w:num w:numId="9" w16cid:durableId="1945846750">
    <w:abstractNumId w:val="10"/>
  </w:num>
  <w:num w:numId="10" w16cid:durableId="1444299384">
    <w:abstractNumId w:val="2"/>
  </w:num>
  <w:num w:numId="11" w16cid:durableId="853345388">
    <w:abstractNumId w:val="1"/>
  </w:num>
  <w:num w:numId="12" w16cid:durableId="1606381894">
    <w:abstractNumId w:val="3"/>
  </w:num>
  <w:num w:numId="13" w16cid:durableId="652564362">
    <w:abstractNumId w:val="9"/>
  </w:num>
  <w:num w:numId="14" w16cid:durableId="272520041">
    <w:abstractNumId w:val="17"/>
  </w:num>
  <w:num w:numId="15" w16cid:durableId="125003000">
    <w:abstractNumId w:val="4"/>
  </w:num>
  <w:num w:numId="16" w16cid:durableId="121071219">
    <w:abstractNumId w:val="7"/>
  </w:num>
  <w:num w:numId="17" w16cid:durableId="1642346219">
    <w:abstractNumId w:val="15"/>
  </w:num>
  <w:num w:numId="18" w16cid:durableId="539709394">
    <w:abstractNumId w:val="14"/>
  </w:num>
  <w:num w:numId="19" w16cid:durableId="892161462">
    <w:abstractNumId w:val="12"/>
  </w:num>
  <w:num w:numId="20" w16cid:durableId="17585382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Q3MjQ1MTKzMDMyNrVQ0lEKTi0uzszPAykwqgUA92S0hywAAAA="/>
  </w:docVars>
  <w:rsids>
    <w:rsidRoot w:val="00514B36"/>
    <w:rsid w:val="00000C1A"/>
    <w:rsid w:val="00001F81"/>
    <w:rsid w:val="00002397"/>
    <w:rsid w:val="00003257"/>
    <w:rsid w:val="000034A1"/>
    <w:rsid w:val="00006005"/>
    <w:rsid w:val="000102A5"/>
    <w:rsid w:val="00011001"/>
    <w:rsid w:val="00014CEF"/>
    <w:rsid w:val="0001623C"/>
    <w:rsid w:val="00016958"/>
    <w:rsid w:val="00020035"/>
    <w:rsid w:val="00020DE9"/>
    <w:rsid w:val="000252C5"/>
    <w:rsid w:val="0002739F"/>
    <w:rsid w:val="00027916"/>
    <w:rsid w:val="00027C56"/>
    <w:rsid w:val="000301E6"/>
    <w:rsid w:val="00030D5E"/>
    <w:rsid w:val="00030F79"/>
    <w:rsid w:val="00031AF9"/>
    <w:rsid w:val="000328C1"/>
    <w:rsid w:val="000337C9"/>
    <w:rsid w:val="00033927"/>
    <w:rsid w:val="00033C8F"/>
    <w:rsid w:val="00035391"/>
    <w:rsid w:val="000408F5"/>
    <w:rsid w:val="0004272B"/>
    <w:rsid w:val="0004541E"/>
    <w:rsid w:val="00045F20"/>
    <w:rsid w:val="00047452"/>
    <w:rsid w:val="00047A38"/>
    <w:rsid w:val="00052275"/>
    <w:rsid w:val="00052588"/>
    <w:rsid w:val="0005290C"/>
    <w:rsid w:val="00052DC1"/>
    <w:rsid w:val="00054A00"/>
    <w:rsid w:val="00054BE4"/>
    <w:rsid w:val="000552A7"/>
    <w:rsid w:val="00055F6D"/>
    <w:rsid w:val="00056313"/>
    <w:rsid w:val="000617C1"/>
    <w:rsid w:val="00061C07"/>
    <w:rsid w:val="00064AA9"/>
    <w:rsid w:val="00065769"/>
    <w:rsid w:val="00066B89"/>
    <w:rsid w:val="00067F01"/>
    <w:rsid w:val="00070254"/>
    <w:rsid w:val="00072096"/>
    <w:rsid w:val="000723F4"/>
    <w:rsid w:val="000726BD"/>
    <w:rsid w:val="00076689"/>
    <w:rsid w:val="00077AEE"/>
    <w:rsid w:val="00077EA3"/>
    <w:rsid w:val="000813E5"/>
    <w:rsid w:val="00082218"/>
    <w:rsid w:val="00084800"/>
    <w:rsid w:val="000859BB"/>
    <w:rsid w:val="00085D56"/>
    <w:rsid w:val="00086ABE"/>
    <w:rsid w:val="00087071"/>
    <w:rsid w:val="00087B2D"/>
    <w:rsid w:val="00090230"/>
    <w:rsid w:val="00093CB8"/>
    <w:rsid w:val="00094CF1"/>
    <w:rsid w:val="00097BA8"/>
    <w:rsid w:val="00097E77"/>
    <w:rsid w:val="000A1536"/>
    <w:rsid w:val="000A5889"/>
    <w:rsid w:val="000B10CA"/>
    <w:rsid w:val="000B24D9"/>
    <w:rsid w:val="000B27E9"/>
    <w:rsid w:val="000B3CB0"/>
    <w:rsid w:val="000B44E3"/>
    <w:rsid w:val="000B70A2"/>
    <w:rsid w:val="000B7114"/>
    <w:rsid w:val="000C066A"/>
    <w:rsid w:val="000C0A82"/>
    <w:rsid w:val="000C0C02"/>
    <w:rsid w:val="000C1A7A"/>
    <w:rsid w:val="000C23B9"/>
    <w:rsid w:val="000C2511"/>
    <w:rsid w:val="000C27B6"/>
    <w:rsid w:val="000C631E"/>
    <w:rsid w:val="000C7668"/>
    <w:rsid w:val="000D333E"/>
    <w:rsid w:val="000D3F7D"/>
    <w:rsid w:val="000D4F7B"/>
    <w:rsid w:val="000E01A9"/>
    <w:rsid w:val="000E04F6"/>
    <w:rsid w:val="000E126A"/>
    <w:rsid w:val="000E1577"/>
    <w:rsid w:val="000E162A"/>
    <w:rsid w:val="000E6314"/>
    <w:rsid w:val="000E6551"/>
    <w:rsid w:val="000E747E"/>
    <w:rsid w:val="000F12F1"/>
    <w:rsid w:val="000F2F97"/>
    <w:rsid w:val="000F5801"/>
    <w:rsid w:val="000F785A"/>
    <w:rsid w:val="0010037F"/>
    <w:rsid w:val="00100628"/>
    <w:rsid w:val="001017CA"/>
    <w:rsid w:val="00101B12"/>
    <w:rsid w:val="00103FAC"/>
    <w:rsid w:val="001047DE"/>
    <w:rsid w:val="00104AA9"/>
    <w:rsid w:val="00104D11"/>
    <w:rsid w:val="0010602A"/>
    <w:rsid w:val="001061DC"/>
    <w:rsid w:val="001103A1"/>
    <w:rsid w:val="001132C2"/>
    <w:rsid w:val="00114850"/>
    <w:rsid w:val="00114B54"/>
    <w:rsid w:val="0012014E"/>
    <w:rsid w:val="00120977"/>
    <w:rsid w:val="00120FE3"/>
    <w:rsid w:val="00121F1E"/>
    <w:rsid w:val="00122375"/>
    <w:rsid w:val="00122DA9"/>
    <w:rsid w:val="00123B7E"/>
    <w:rsid w:val="00124558"/>
    <w:rsid w:val="00126B39"/>
    <w:rsid w:val="00130A7D"/>
    <w:rsid w:val="00131E2E"/>
    <w:rsid w:val="00132AF1"/>
    <w:rsid w:val="00134014"/>
    <w:rsid w:val="00135F7D"/>
    <w:rsid w:val="001361CD"/>
    <w:rsid w:val="00140A8A"/>
    <w:rsid w:val="00141DF9"/>
    <w:rsid w:val="00142590"/>
    <w:rsid w:val="00143D56"/>
    <w:rsid w:val="00144EA2"/>
    <w:rsid w:val="00146C83"/>
    <w:rsid w:val="001471E8"/>
    <w:rsid w:val="001505BC"/>
    <w:rsid w:val="00153223"/>
    <w:rsid w:val="00153732"/>
    <w:rsid w:val="00153742"/>
    <w:rsid w:val="00153EF9"/>
    <w:rsid w:val="001566B2"/>
    <w:rsid w:val="0016016F"/>
    <w:rsid w:val="0016044D"/>
    <w:rsid w:val="00160A7F"/>
    <w:rsid w:val="00161013"/>
    <w:rsid w:val="00161A81"/>
    <w:rsid w:val="0016306F"/>
    <w:rsid w:val="00163EC2"/>
    <w:rsid w:val="00163F20"/>
    <w:rsid w:val="00164E44"/>
    <w:rsid w:val="0016564E"/>
    <w:rsid w:val="00166118"/>
    <w:rsid w:val="0016702B"/>
    <w:rsid w:val="001708FA"/>
    <w:rsid w:val="00170D43"/>
    <w:rsid w:val="0017564B"/>
    <w:rsid w:val="00176BD2"/>
    <w:rsid w:val="00177ABF"/>
    <w:rsid w:val="001811AC"/>
    <w:rsid w:val="001812AF"/>
    <w:rsid w:val="001812D1"/>
    <w:rsid w:val="001816AC"/>
    <w:rsid w:val="00182A6C"/>
    <w:rsid w:val="0018312D"/>
    <w:rsid w:val="0018542F"/>
    <w:rsid w:val="00187BE9"/>
    <w:rsid w:val="00192E46"/>
    <w:rsid w:val="001959F8"/>
    <w:rsid w:val="00196CEA"/>
    <w:rsid w:val="00197201"/>
    <w:rsid w:val="00197D85"/>
    <w:rsid w:val="00197FBE"/>
    <w:rsid w:val="001A08FA"/>
    <w:rsid w:val="001A09B5"/>
    <w:rsid w:val="001A1317"/>
    <w:rsid w:val="001A1699"/>
    <w:rsid w:val="001A3327"/>
    <w:rsid w:val="001A3C23"/>
    <w:rsid w:val="001A48EF"/>
    <w:rsid w:val="001A522F"/>
    <w:rsid w:val="001A55AE"/>
    <w:rsid w:val="001A5E51"/>
    <w:rsid w:val="001B018A"/>
    <w:rsid w:val="001B20CE"/>
    <w:rsid w:val="001B46AA"/>
    <w:rsid w:val="001B56FB"/>
    <w:rsid w:val="001B5DC1"/>
    <w:rsid w:val="001B717A"/>
    <w:rsid w:val="001B740D"/>
    <w:rsid w:val="001B7571"/>
    <w:rsid w:val="001C05E2"/>
    <w:rsid w:val="001C22E6"/>
    <w:rsid w:val="001C3359"/>
    <w:rsid w:val="001C4319"/>
    <w:rsid w:val="001C4F08"/>
    <w:rsid w:val="001C4FCE"/>
    <w:rsid w:val="001C563B"/>
    <w:rsid w:val="001D0F5F"/>
    <w:rsid w:val="001D29EF"/>
    <w:rsid w:val="001D4E37"/>
    <w:rsid w:val="001D502C"/>
    <w:rsid w:val="001E170B"/>
    <w:rsid w:val="001E3767"/>
    <w:rsid w:val="001E4081"/>
    <w:rsid w:val="001E48AD"/>
    <w:rsid w:val="001E71F5"/>
    <w:rsid w:val="001E7230"/>
    <w:rsid w:val="001F138D"/>
    <w:rsid w:val="001F26BE"/>
    <w:rsid w:val="001F3797"/>
    <w:rsid w:val="001F53B9"/>
    <w:rsid w:val="001F6CE5"/>
    <w:rsid w:val="001F6D28"/>
    <w:rsid w:val="001F7A6E"/>
    <w:rsid w:val="00206AC8"/>
    <w:rsid w:val="00207F6C"/>
    <w:rsid w:val="0021208D"/>
    <w:rsid w:val="00212234"/>
    <w:rsid w:val="00222C7D"/>
    <w:rsid w:val="0022347C"/>
    <w:rsid w:val="00224EF5"/>
    <w:rsid w:val="002277BF"/>
    <w:rsid w:val="00235381"/>
    <w:rsid w:val="00235E29"/>
    <w:rsid w:val="00235EF6"/>
    <w:rsid w:val="0023689B"/>
    <w:rsid w:val="00237501"/>
    <w:rsid w:val="002408B6"/>
    <w:rsid w:val="002421F8"/>
    <w:rsid w:val="00242737"/>
    <w:rsid w:val="002438D9"/>
    <w:rsid w:val="002439D5"/>
    <w:rsid w:val="00245D2E"/>
    <w:rsid w:val="00247F09"/>
    <w:rsid w:val="00251D34"/>
    <w:rsid w:val="00252363"/>
    <w:rsid w:val="00255D88"/>
    <w:rsid w:val="00261788"/>
    <w:rsid w:val="0026606C"/>
    <w:rsid w:val="00267251"/>
    <w:rsid w:val="0026770D"/>
    <w:rsid w:val="00267BCF"/>
    <w:rsid w:val="00270627"/>
    <w:rsid w:val="00270A25"/>
    <w:rsid w:val="002718B3"/>
    <w:rsid w:val="002735DF"/>
    <w:rsid w:val="00274E05"/>
    <w:rsid w:val="0027565A"/>
    <w:rsid w:val="00276084"/>
    <w:rsid w:val="00277820"/>
    <w:rsid w:val="00282445"/>
    <w:rsid w:val="00284419"/>
    <w:rsid w:val="00285BD3"/>
    <w:rsid w:val="00286103"/>
    <w:rsid w:val="00286F12"/>
    <w:rsid w:val="00287092"/>
    <w:rsid w:val="00292A9A"/>
    <w:rsid w:val="00294B70"/>
    <w:rsid w:val="002A4E11"/>
    <w:rsid w:val="002A5228"/>
    <w:rsid w:val="002A5D52"/>
    <w:rsid w:val="002B0791"/>
    <w:rsid w:val="002B2846"/>
    <w:rsid w:val="002B4A70"/>
    <w:rsid w:val="002B5067"/>
    <w:rsid w:val="002B6E44"/>
    <w:rsid w:val="002B79B9"/>
    <w:rsid w:val="002C1ECD"/>
    <w:rsid w:val="002C243A"/>
    <w:rsid w:val="002C36C2"/>
    <w:rsid w:val="002C4FC4"/>
    <w:rsid w:val="002C5B06"/>
    <w:rsid w:val="002D24CD"/>
    <w:rsid w:val="002D2FCA"/>
    <w:rsid w:val="002D4952"/>
    <w:rsid w:val="002D4A1A"/>
    <w:rsid w:val="002D62D7"/>
    <w:rsid w:val="002D63B7"/>
    <w:rsid w:val="002D739A"/>
    <w:rsid w:val="002D7AEF"/>
    <w:rsid w:val="002D7D3E"/>
    <w:rsid w:val="002E0063"/>
    <w:rsid w:val="002E140C"/>
    <w:rsid w:val="002E1F57"/>
    <w:rsid w:val="002E2463"/>
    <w:rsid w:val="002E3B30"/>
    <w:rsid w:val="002E4A5E"/>
    <w:rsid w:val="002E5A1F"/>
    <w:rsid w:val="002F1E4B"/>
    <w:rsid w:val="002F4EB4"/>
    <w:rsid w:val="002F52FD"/>
    <w:rsid w:val="002F76ED"/>
    <w:rsid w:val="002F7E0A"/>
    <w:rsid w:val="00300399"/>
    <w:rsid w:val="00300DB7"/>
    <w:rsid w:val="0030168C"/>
    <w:rsid w:val="00301952"/>
    <w:rsid w:val="00301EBA"/>
    <w:rsid w:val="00302151"/>
    <w:rsid w:val="00303FB3"/>
    <w:rsid w:val="00305A5B"/>
    <w:rsid w:val="00305DAB"/>
    <w:rsid w:val="00305EFF"/>
    <w:rsid w:val="003128E1"/>
    <w:rsid w:val="00313FBB"/>
    <w:rsid w:val="003147E6"/>
    <w:rsid w:val="003160D4"/>
    <w:rsid w:val="00320308"/>
    <w:rsid w:val="00322312"/>
    <w:rsid w:val="00326445"/>
    <w:rsid w:val="00327665"/>
    <w:rsid w:val="003278CB"/>
    <w:rsid w:val="00327F97"/>
    <w:rsid w:val="003324D3"/>
    <w:rsid w:val="00337DED"/>
    <w:rsid w:val="00342D37"/>
    <w:rsid w:val="003472E7"/>
    <w:rsid w:val="00350310"/>
    <w:rsid w:val="003527AE"/>
    <w:rsid w:val="00352AEB"/>
    <w:rsid w:val="003553E5"/>
    <w:rsid w:val="003562CC"/>
    <w:rsid w:val="00357C86"/>
    <w:rsid w:val="00363F15"/>
    <w:rsid w:val="00365FE9"/>
    <w:rsid w:val="003677BF"/>
    <w:rsid w:val="00377F08"/>
    <w:rsid w:val="00380D05"/>
    <w:rsid w:val="003818CE"/>
    <w:rsid w:val="00382F9D"/>
    <w:rsid w:val="0038700E"/>
    <w:rsid w:val="003876ED"/>
    <w:rsid w:val="00387D04"/>
    <w:rsid w:val="003922BA"/>
    <w:rsid w:val="00395642"/>
    <w:rsid w:val="00395F36"/>
    <w:rsid w:val="003965A6"/>
    <w:rsid w:val="003A072F"/>
    <w:rsid w:val="003A18D6"/>
    <w:rsid w:val="003A18FE"/>
    <w:rsid w:val="003A282C"/>
    <w:rsid w:val="003A313B"/>
    <w:rsid w:val="003A4FD7"/>
    <w:rsid w:val="003A5308"/>
    <w:rsid w:val="003A6269"/>
    <w:rsid w:val="003A6DD4"/>
    <w:rsid w:val="003B31E2"/>
    <w:rsid w:val="003B31E5"/>
    <w:rsid w:val="003B5CB9"/>
    <w:rsid w:val="003B5E05"/>
    <w:rsid w:val="003B60EF"/>
    <w:rsid w:val="003C076E"/>
    <w:rsid w:val="003C0E82"/>
    <w:rsid w:val="003C0E8A"/>
    <w:rsid w:val="003C2084"/>
    <w:rsid w:val="003C3E80"/>
    <w:rsid w:val="003C573A"/>
    <w:rsid w:val="003C588C"/>
    <w:rsid w:val="003C6F87"/>
    <w:rsid w:val="003D112D"/>
    <w:rsid w:val="003D15E0"/>
    <w:rsid w:val="003D1E86"/>
    <w:rsid w:val="003D263F"/>
    <w:rsid w:val="003D37E5"/>
    <w:rsid w:val="003D38CB"/>
    <w:rsid w:val="003D43AD"/>
    <w:rsid w:val="003D447B"/>
    <w:rsid w:val="003D48B6"/>
    <w:rsid w:val="003D7CE9"/>
    <w:rsid w:val="003E0ABA"/>
    <w:rsid w:val="003E19C2"/>
    <w:rsid w:val="003E310B"/>
    <w:rsid w:val="003E3C6E"/>
    <w:rsid w:val="003E6D56"/>
    <w:rsid w:val="003E7230"/>
    <w:rsid w:val="003E7D12"/>
    <w:rsid w:val="003F07BB"/>
    <w:rsid w:val="003F1202"/>
    <w:rsid w:val="003F1490"/>
    <w:rsid w:val="003F1F29"/>
    <w:rsid w:val="003F2696"/>
    <w:rsid w:val="003F27ED"/>
    <w:rsid w:val="003F39CC"/>
    <w:rsid w:val="003F46EF"/>
    <w:rsid w:val="003F69E9"/>
    <w:rsid w:val="003F7260"/>
    <w:rsid w:val="003F7F53"/>
    <w:rsid w:val="00401B6B"/>
    <w:rsid w:val="00403DB0"/>
    <w:rsid w:val="00404B96"/>
    <w:rsid w:val="00406708"/>
    <w:rsid w:val="0040794B"/>
    <w:rsid w:val="004079EC"/>
    <w:rsid w:val="00410BFD"/>
    <w:rsid w:val="00411B2E"/>
    <w:rsid w:val="00413950"/>
    <w:rsid w:val="00417C07"/>
    <w:rsid w:val="00420BE1"/>
    <w:rsid w:val="00423948"/>
    <w:rsid w:val="00423A92"/>
    <w:rsid w:val="00424935"/>
    <w:rsid w:val="00426704"/>
    <w:rsid w:val="00427783"/>
    <w:rsid w:val="00430D3D"/>
    <w:rsid w:val="00431886"/>
    <w:rsid w:val="00432BAF"/>
    <w:rsid w:val="004332BB"/>
    <w:rsid w:val="0043474B"/>
    <w:rsid w:val="004360E5"/>
    <w:rsid w:val="00437A11"/>
    <w:rsid w:val="00437CDE"/>
    <w:rsid w:val="00437ECA"/>
    <w:rsid w:val="00440990"/>
    <w:rsid w:val="00440C3E"/>
    <w:rsid w:val="0044245C"/>
    <w:rsid w:val="00442CE6"/>
    <w:rsid w:val="004462FC"/>
    <w:rsid w:val="004474B3"/>
    <w:rsid w:val="00447725"/>
    <w:rsid w:val="004501BF"/>
    <w:rsid w:val="0045552B"/>
    <w:rsid w:val="00455D03"/>
    <w:rsid w:val="00463A9B"/>
    <w:rsid w:val="00466DEF"/>
    <w:rsid w:val="00470245"/>
    <w:rsid w:val="004713DD"/>
    <w:rsid w:val="00472FCD"/>
    <w:rsid w:val="00473B14"/>
    <w:rsid w:val="00474357"/>
    <w:rsid w:val="00476274"/>
    <w:rsid w:val="00476ED9"/>
    <w:rsid w:val="00480AE7"/>
    <w:rsid w:val="004816E6"/>
    <w:rsid w:val="00481A20"/>
    <w:rsid w:val="00481D68"/>
    <w:rsid w:val="00481FD3"/>
    <w:rsid w:val="004856D8"/>
    <w:rsid w:val="00485F9D"/>
    <w:rsid w:val="00491D73"/>
    <w:rsid w:val="004940E0"/>
    <w:rsid w:val="00494400"/>
    <w:rsid w:val="00497090"/>
    <w:rsid w:val="00497268"/>
    <w:rsid w:val="004A0516"/>
    <w:rsid w:val="004A12A4"/>
    <w:rsid w:val="004A1B77"/>
    <w:rsid w:val="004A2CE4"/>
    <w:rsid w:val="004A2EEC"/>
    <w:rsid w:val="004A5A5D"/>
    <w:rsid w:val="004A6520"/>
    <w:rsid w:val="004A6F46"/>
    <w:rsid w:val="004A70C7"/>
    <w:rsid w:val="004A7882"/>
    <w:rsid w:val="004B1417"/>
    <w:rsid w:val="004B28A6"/>
    <w:rsid w:val="004B2AC2"/>
    <w:rsid w:val="004B2BDE"/>
    <w:rsid w:val="004B3623"/>
    <w:rsid w:val="004B3954"/>
    <w:rsid w:val="004B3BBF"/>
    <w:rsid w:val="004B4D85"/>
    <w:rsid w:val="004B5E29"/>
    <w:rsid w:val="004B5E60"/>
    <w:rsid w:val="004C012B"/>
    <w:rsid w:val="004C14DC"/>
    <w:rsid w:val="004C1FCD"/>
    <w:rsid w:val="004C22B1"/>
    <w:rsid w:val="004C4603"/>
    <w:rsid w:val="004C5084"/>
    <w:rsid w:val="004D09EE"/>
    <w:rsid w:val="004D1FF4"/>
    <w:rsid w:val="004E0EBF"/>
    <w:rsid w:val="004E39F0"/>
    <w:rsid w:val="004E7805"/>
    <w:rsid w:val="004F063F"/>
    <w:rsid w:val="004F1D26"/>
    <w:rsid w:val="004F358A"/>
    <w:rsid w:val="004F515E"/>
    <w:rsid w:val="004F5B01"/>
    <w:rsid w:val="004F7422"/>
    <w:rsid w:val="004F7598"/>
    <w:rsid w:val="004F7E2D"/>
    <w:rsid w:val="0050005A"/>
    <w:rsid w:val="00502AF0"/>
    <w:rsid w:val="0050447C"/>
    <w:rsid w:val="005047D9"/>
    <w:rsid w:val="005048A3"/>
    <w:rsid w:val="00504B9E"/>
    <w:rsid w:val="00504D26"/>
    <w:rsid w:val="00504E03"/>
    <w:rsid w:val="00506345"/>
    <w:rsid w:val="005065E3"/>
    <w:rsid w:val="00510573"/>
    <w:rsid w:val="0051090C"/>
    <w:rsid w:val="005115E7"/>
    <w:rsid w:val="00514188"/>
    <w:rsid w:val="00514517"/>
    <w:rsid w:val="00514B36"/>
    <w:rsid w:val="0051574F"/>
    <w:rsid w:val="0052141C"/>
    <w:rsid w:val="00523402"/>
    <w:rsid w:val="00531035"/>
    <w:rsid w:val="00533B97"/>
    <w:rsid w:val="00534079"/>
    <w:rsid w:val="005359DA"/>
    <w:rsid w:val="00535B35"/>
    <w:rsid w:val="00541E87"/>
    <w:rsid w:val="005428C2"/>
    <w:rsid w:val="005454B5"/>
    <w:rsid w:val="00545D2A"/>
    <w:rsid w:val="00546368"/>
    <w:rsid w:val="005475BA"/>
    <w:rsid w:val="0055068D"/>
    <w:rsid w:val="00551681"/>
    <w:rsid w:val="00551C29"/>
    <w:rsid w:val="00552F2F"/>
    <w:rsid w:val="005540F7"/>
    <w:rsid w:val="00555613"/>
    <w:rsid w:val="00556771"/>
    <w:rsid w:val="00557697"/>
    <w:rsid w:val="00560064"/>
    <w:rsid w:val="00561145"/>
    <w:rsid w:val="005612C3"/>
    <w:rsid w:val="00563A79"/>
    <w:rsid w:val="00564001"/>
    <w:rsid w:val="00564E71"/>
    <w:rsid w:val="005671FA"/>
    <w:rsid w:val="0056787F"/>
    <w:rsid w:val="00567C7C"/>
    <w:rsid w:val="00572B90"/>
    <w:rsid w:val="005750D0"/>
    <w:rsid w:val="005758DA"/>
    <w:rsid w:val="00575B62"/>
    <w:rsid w:val="005767B6"/>
    <w:rsid w:val="005842F4"/>
    <w:rsid w:val="00585535"/>
    <w:rsid w:val="00586442"/>
    <w:rsid w:val="00586A7E"/>
    <w:rsid w:val="00587D79"/>
    <w:rsid w:val="00591E48"/>
    <w:rsid w:val="0059221B"/>
    <w:rsid w:val="005922DD"/>
    <w:rsid w:val="00594929"/>
    <w:rsid w:val="005956CA"/>
    <w:rsid w:val="005979E0"/>
    <w:rsid w:val="005A1646"/>
    <w:rsid w:val="005A34EF"/>
    <w:rsid w:val="005A3656"/>
    <w:rsid w:val="005A5FFA"/>
    <w:rsid w:val="005B3631"/>
    <w:rsid w:val="005B59AC"/>
    <w:rsid w:val="005B5F60"/>
    <w:rsid w:val="005B6A8B"/>
    <w:rsid w:val="005B7293"/>
    <w:rsid w:val="005C1638"/>
    <w:rsid w:val="005C2393"/>
    <w:rsid w:val="005C2891"/>
    <w:rsid w:val="005C6683"/>
    <w:rsid w:val="005C7DE0"/>
    <w:rsid w:val="005D129B"/>
    <w:rsid w:val="005D40E2"/>
    <w:rsid w:val="005D5673"/>
    <w:rsid w:val="005D7FB5"/>
    <w:rsid w:val="005E2CD0"/>
    <w:rsid w:val="005E2D05"/>
    <w:rsid w:val="005E355F"/>
    <w:rsid w:val="005E398B"/>
    <w:rsid w:val="005E5299"/>
    <w:rsid w:val="005E52F2"/>
    <w:rsid w:val="005E6053"/>
    <w:rsid w:val="005E6C52"/>
    <w:rsid w:val="005E7242"/>
    <w:rsid w:val="005F0E23"/>
    <w:rsid w:val="005F171F"/>
    <w:rsid w:val="005F20BC"/>
    <w:rsid w:val="005F2BD4"/>
    <w:rsid w:val="005F30EC"/>
    <w:rsid w:val="005F3728"/>
    <w:rsid w:val="005F3D12"/>
    <w:rsid w:val="005F5D3F"/>
    <w:rsid w:val="005F6028"/>
    <w:rsid w:val="005F6AD1"/>
    <w:rsid w:val="005F7B41"/>
    <w:rsid w:val="00600246"/>
    <w:rsid w:val="006009F1"/>
    <w:rsid w:val="0060163C"/>
    <w:rsid w:val="00604B2C"/>
    <w:rsid w:val="00605CC1"/>
    <w:rsid w:val="00606D0A"/>
    <w:rsid w:val="00607FA2"/>
    <w:rsid w:val="006119C1"/>
    <w:rsid w:val="00611FA6"/>
    <w:rsid w:val="00614F18"/>
    <w:rsid w:val="006155BA"/>
    <w:rsid w:val="00616EAE"/>
    <w:rsid w:val="00616F6E"/>
    <w:rsid w:val="006173C9"/>
    <w:rsid w:val="00617FBD"/>
    <w:rsid w:val="0062214D"/>
    <w:rsid w:val="00623CD1"/>
    <w:rsid w:val="00624DA0"/>
    <w:rsid w:val="00624E66"/>
    <w:rsid w:val="006267C3"/>
    <w:rsid w:val="00626E3B"/>
    <w:rsid w:val="00627B14"/>
    <w:rsid w:val="00627C8E"/>
    <w:rsid w:val="00627F4A"/>
    <w:rsid w:val="0063153B"/>
    <w:rsid w:val="006324A6"/>
    <w:rsid w:val="006363E2"/>
    <w:rsid w:val="006369AB"/>
    <w:rsid w:val="00641A5B"/>
    <w:rsid w:val="0064256E"/>
    <w:rsid w:val="006436A6"/>
    <w:rsid w:val="006436F9"/>
    <w:rsid w:val="00643AB9"/>
    <w:rsid w:val="006440BA"/>
    <w:rsid w:val="006452C1"/>
    <w:rsid w:val="00645594"/>
    <w:rsid w:val="00647188"/>
    <w:rsid w:val="0065005A"/>
    <w:rsid w:val="0065057F"/>
    <w:rsid w:val="00651546"/>
    <w:rsid w:val="0065195D"/>
    <w:rsid w:val="006527A8"/>
    <w:rsid w:val="006530A2"/>
    <w:rsid w:val="00653525"/>
    <w:rsid w:val="006544C9"/>
    <w:rsid w:val="00655249"/>
    <w:rsid w:val="00655938"/>
    <w:rsid w:val="006568E0"/>
    <w:rsid w:val="006576FF"/>
    <w:rsid w:val="00657C84"/>
    <w:rsid w:val="00661DE8"/>
    <w:rsid w:val="00663710"/>
    <w:rsid w:val="00665DA1"/>
    <w:rsid w:val="0067033F"/>
    <w:rsid w:val="00670EF1"/>
    <w:rsid w:val="00672709"/>
    <w:rsid w:val="00672A48"/>
    <w:rsid w:val="00672D74"/>
    <w:rsid w:val="00673124"/>
    <w:rsid w:val="00673245"/>
    <w:rsid w:val="00674526"/>
    <w:rsid w:val="00675CA4"/>
    <w:rsid w:val="006777DA"/>
    <w:rsid w:val="006804B5"/>
    <w:rsid w:val="00680694"/>
    <w:rsid w:val="00680B1E"/>
    <w:rsid w:val="00682723"/>
    <w:rsid w:val="00682E27"/>
    <w:rsid w:val="00682F47"/>
    <w:rsid w:val="006847E3"/>
    <w:rsid w:val="0068499B"/>
    <w:rsid w:val="00685578"/>
    <w:rsid w:val="0068686D"/>
    <w:rsid w:val="00686D52"/>
    <w:rsid w:val="0069055F"/>
    <w:rsid w:val="00690F51"/>
    <w:rsid w:val="006913D3"/>
    <w:rsid w:val="00691D1E"/>
    <w:rsid w:val="00692225"/>
    <w:rsid w:val="006927DD"/>
    <w:rsid w:val="006951DD"/>
    <w:rsid w:val="00697A2A"/>
    <w:rsid w:val="006A01D5"/>
    <w:rsid w:val="006A2B28"/>
    <w:rsid w:val="006A341B"/>
    <w:rsid w:val="006A6503"/>
    <w:rsid w:val="006B28FD"/>
    <w:rsid w:val="006B3992"/>
    <w:rsid w:val="006B3D69"/>
    <w:rsid w:val="006B4979"/>
    <w:rsid w:val="006B51C9"/>
    <w:rsid w:val="006B5CAA"/>
    <w:rsid w:val="006C033C"/>
    <w:rsid w:val="006C2B5B"/>
    <w:rsid w:val="006C3DD5"/>
    <w:rsid w:val="006C6CA0"/>
    <w:rsid w:val="006C6CF8"/>
    <w:rsid w:val="006C75A0"/>
    <w:rsid w:val="006D2CCB"/>
    <w:rsid w:val="006D3592"/>
    <w:rsid w:val="006D6661"/>
    <w:rsid w:val="006D6870"/>
    <w:rsid w:val="006E0733"/>
    <w:rsid w:val="006E3238"/>
    <w:rsid w:val="006E58E8"/>
    <w:rsid w:val="006F014A"/>
    <w:rsid w:val="006F01F8"/>
    <w:rsid w:val="006F142B"/>
    <w:rsid w:val="006F15CA"/>
    <w:rsid w:val="006F2D8E"/>
    <w:rsid w:val="006F59A8"/>
    <w:rsid w:val="006F5CB8"/>
    <w:rsid w:val="006F64AA"/>
    <w:rsid w:val="006F714D"/>
    <w:rsid w:val="006F761C"/>
    <w:rsid w:val="006F7E6C"/>
    <w:rsid w:val="006F7FC0"/>
    <w:rsid w:val="00704250"/>
    <w:rsid w:val="0070608A"/>
    <w:rsid w:val="0070685B"/>
    <w:rsid w:val="00707D42"/>
    <w:rsid w:val="00713A80"/>
    <w:rsid w:val="00713D5F"/>
    <w:rsid w:val="0071451D"/>
    <w:rsid w:val="00715F6C"/>
    <w:rsid w:val="007172D9"/>
    <w:rsid w:val="0071759A"/>
    <w:rsid w:val="00717968"/>
    <w:rsid w:val="00717BEB"/>
    <w:rsid w:val="00720E0F"/>
    <w:rsid w:val="00721316"/>
    <w:rsid w:val="00721DF2"/>
    <w:rsid w:val="00723192"/>
    <w:rsid w:val="0072374A"/>
    <w:rsid w:val="00724974"/>
    <w:rsid w:val="007302DE"/>
    <w:rsid w:val="00730D4F"/>
    <w:rsid w:val="0073110E"/>
    <w:rsid w:val="00731B96"/>
    <w:rsid w:val="00731FEA"/>
    <w:rsid w:val="00732C33"/>
    <w:rsid w:val="007347DC"/>
    <w:rsid w:val="00734EE8"/>
    <w:rsid w:val="00735587"/>
    <w:rsid w:val="0073693E"/>
    <w:rsid w:val="0073770C"/>
    <w:rsid w:val="00741CC4"/>
    <w:rsid w:val="00742460"/>
    <w:rsid w:val="007429DD"/>
    <w:rsid w:val="0074311A"/>
    <w:rsid w:val="007434C5"/>
    <w:rsid w:val="0074423F"/>
    <w:rsid w:val="00745F4C"/>
    <w:rsid w:val="00746FA2"/>
    <w:rsid w:val="007474C7"/>
    <w:rsid w:val="00747624"/>
    <w:rsid w:val="00750DDA"/>
    <w:rsid w:val="00751222"/>
    <w:rsid w:val="00752322"/>
    <w:rsid w:val="00753B6B"/>
    <w:rsid w:val="00763D95"/>
    <w:rsid w:val="00763EC5"/>
    <w:rsid w:val="00764246"/>
    <w:rsid w:val="007660D1"/>
    <w:rsid w:val="007669D7"/>
    <w:rsid w:val="0076763F"/>
    <w:rsid w:val="0077346F"/>
    <w:rsid w:val="00774CE7"/>
    <w:rsid w:val="00782F42"/>
    <w:rsid w:val="00783398"/>
    <w:rsid w:val="00784805"/>
    <w:rsid w:val="0078600F"/>
    <w:rsid w:val="00787380"/>
    <w:rsid w:val="007906B5"/>
    <w:rsid w:val="00791283"/>
    <w:rsid w:val="007912BA"/>
    <w:rsid w:val="0079316A"/>
    <w:rsid w:val="00793CB1"/>
    <w:rsid w:val="00794695"/>
    <w:rsid w:val="0079545E"/>
    <w:rsid w:val="00797242"/>
    <w:rsid w:val="007A16D0"/>
    <w:rsid w:val="007A289E"/>
    <w:rsid w:val="007A51F5"/>
    <w:rsid w:val="007A5C0C"/>
    <w:rsid w:val="007A7E94"/>
    <w:rsid w:val="007B10DE"/>
    <w:rsid w:val="007B1826"/>
    <w:rsid w:val="007B19ED"/>
    <w:rsid w:val="007B1AA4"/>
    <w:rsid w:val="007B3C2B"/>
    <w:rsid w:val="007B40B4"/>
    <w:rsid w:val="007B54DB"/>
    <w:rsid w:val="007B56F7"/>
    <w:rsid w:val="007B74CC"/>
    <w:rsid w:val="007B7D75"/>
    <w:rsid w:val="007C240F"/>
    <w:rsid w:val="007C33A0"/>
    <w:rsid w:val="007C4667"/>
    <w:rsid w:val="007C51BE"/>
    <w:rsid w:val="007C5583"/>
    <w:rsid w:val="007C7347"/>
    <w:rsid w:val="007D0E04"/>
    <w:rsid w:val="007D2FB6"/>
    <w:rsid w:val="007D359C"/>
    <w:rsid w:val="007D4977"/>
    <w:rsid w:val="007D79F2"/>
    <w:rsid w:val="007E1B02"/>
    <w:rsid w:val="007E2B6B"/>
    <w:rsid w:val="007E3E1D"/>
    <w:rsid w:val="007E470D"/>
    <w:rsid w:val="007E6F10"/>
    <w:rsid w:val="007E7521"/>
    <w:rsid w:val="007F0939"/>
    <w:rsid w:val="007F0997"/>
    <w:rsid w:val="007F4D60"/>
    <w:rsid w:val="007F7A50"/>
    <w:rsid w:val="00800D08"/>
    <w:rsid w:val="0080155B"/>
    <w:rsid w:val="00801CD3"/>
    <w:rsid w:val="0080241C"/>
    <w:rsid w:val="00804947"/>
    <w:rsid w:val="008072E9"/>
    <w:rsid w:val="0081102C"/>
    <w:rsid w:val="00811296"/>
    <w:rsid w:val="00812701"/>
    <w:rsid w:val="00813E9C"/>
    <w:rsid w:val="0081415B"/>
    <w:rsid w:val="008155E7"/>
    <w:rsid w:val="00817BE7"/>
    <w:rsid w:val="00817E8E"/>
    <w:rsid w:val="00817F08"/>
    <w:rsid w:val="00820C6B"/>
    <w:rsid w:val="00820E0C"/>
    <w:rsid w:val="00821E3D"/>
    <w:rsid w:val="00822681"/>
    <w:rsid w:val="00827256"/>
    <w:rsid w:val="008308DB"/>
    <w:rsid w:val="00831ED8"/>
    <w:rsid w:val="0083359E"/>
    <w:rsid w:val="00834CC3"/>
    <w:rsid w:val="0083759A"/>
    <w:rsid w:val="00837F67"/>
    <w:rsid w:val="00841431"/>
    <w:rsid w:val="00844A87"/>
    <w:rsid w:val="00847716"/>
    <w:rsid w:val="00847EEB"/>
    <w:rsid w:val="0085135A"/>
    <w:rsid w:val="00853700"/>
    <w:rsid w:val="00853C64"/>
    <w:rsid w:val="00854FC5"/>
    <w:rsid w:val="00856A31"/>
    <w:rsid w:val="0085730C"/>
    <w:rsid w:val="0086008D"/>
    <w:rsid w:val="00860A39"/>
    <w:rsid w:val="008620F8"/>
    <w:rsid w:val="00865519"/>
    <w:rsid w:val="00865A3B"/>
    <w:rsid w:val="00866DDA"/>
    <w:rsid w:val="00870F0F"/>
    <w:rsid w:val="00871D00"/>
    <w:rsid w:val="00871EC6"/>
    <w:rsid w:val="00872205"/>
    <w:rsid w:val="00872C2E"/>
    <w:rsid w:val="00875322"/>
    <w:rsid w:val="00876AC0"/>
    <w:rsid w:val="00876B88"/>
    <w:rsid w:val="00877BF5"/>
    <w:rsid w:val="00880683"/>
    <w:rsid w:val="00880BEA"/>
    <w:rsid w:val="00881593"/>
    <w:rsid w:val="00881645"/>
    <w:rsid w:val="00882702"/>
    <w:rsid w:val="00883FA4"/>
    <w:rsid w:val="00884CBC"/>
    <w:rsid w:val="00887345"/>
    <w:rsid w:val="008903FC"/>
    <w:rsid w:val="008906DE"/>
    <w:rsid w:val="00890D32"/>
    <w:rsid w:val="00891BD4"/>
    <w:rsid w:val="00891C78"/>
    <w:rsid w:val="008947EC"/>
    <w:rsid w:val="00894CB9"/>
    <w:rsid w:val="00895F26"/>
    <w:rsid w:val="00896778"/>
    <w:rsid w:val="00897C74"/>
    <w:rsid w:val="008A01BA"/>
    <w:rsid w:val="008A04F0"/>
    <w:rsid w:val="008A0BFA"/>
    <w:rsid w:val="008A2AE7"/>
    <w:rsid w:val="008A4779"/>
    <w:rsid w:val="008A6FE0"/>
    <w:rsid w:val="008A77D5"/>
    <w:rsid w:val="008A79D2"/>
    <w:rsid w:val="008A7D81"/>
    <w:rsid w:val="008B033E"/>
    <w:rsid w:val="008B1F02"/>
    <w:rsid w:val="008B303E"/>
    <w:rsid w:val="008B40A1"/>
    <w:rsid w:val="008B441B"/>
    <w:rsid w:val="008B67D7"/>
    <w:rsid w:val="008C15AE"/>
    <w:rsid w:val="008C3478"/>
    <w:rsid w:val="008C49A1"/>
    <w:rsid w:val="008C4BDE"/>
    <w:rsid w:val="008C7916"/>
    <w:rsid w:val="008D02FF"/>
    <w:rsid w:val="008D0433"/>
    <w:rsid w:val="008D1256"/>
    <w:rsid w:val="008D138B"/>
    <w:rsid w:val="008D351F"/>
    <w:rsid w:val="008E1608"/>
    <w:rsid w:val="008E241B"/>
    <w:rsid w:val="008E290F"/>
    <w:rsid w:val="008E3057"/>
    <w:rsid w:val="008E3066"/>
    <w:rsid w:val="008E6AAE"/>
    <w:rsid w:val="008E6C86"/>
    <w:rsid w:val="008F0546"/>
    <w:rsid w:val="008F0C67"/>
    <w:rsid w:val="008F251A"/>
    <w:rsid w:val="008F5CED"/>
    <w:rsid w:val="008F684A"/>
    <w:rsid w:val="008F71D1"/>
    <w:rsid w:val="00900895"/>
    <w:rsid w:val="00901B57"/>
    <w:rsid w:val="0090221B"/>
    <w:rsid w:val="009059C6"/>
    <w:rsid w:val="009060D2"/>
    <w:rsid w:val="009151F0"/>
    <w:rsid w:val="00916EBC"/>
    <w:rsid w:val="00917A43"/>
    <w:rsid w:val="00917C62"/>
    <w:rsid w:val="00920833"/>
    <w:rsid w:val="00924F97"/>
    <w:rsid w:val="0092544F"/>
    <w:rsid w:val="00925C7A"/>
    <w:rsid w:val="009260FB"/>
    <w:rsid w:val="009261BA"/>
    <w:rsid w:val="00927A63"/>
    <w:rsid w:val="00930119"/>
    <w:rsid w:val="00931917"/>
    <w:rsid w:val="00940682"/>
    <w:rsid w:val="00940E9F"/>
    <w:rsid w:val="00943A06"/>
    <w:rsid w:val="00947327"/>
    <w:rsid w:val="00947FC4"/>
    <w:rsid w:val="009502C9"/>
    <w:rsid w:val="00953529"/>
    <w:rsid w:val="00955687"/>
    <w:rsid w:val="0095743A"/>
    <w:rsid w:val="0096022E"/>
    <w:rsid w:val="00960F16"/>
    <w:rsid w:val="00961681"/>
    <w:rsid w:val="00961D81"/>
    <w:rsid w:val="00962CB4"/>
    <w:rsid w:val="009652F5"/>
    <w:rsid w:val="0096644E"/>
    <w:rsid w:val="009664E4"/>
    <w:rsid w:val="00967312"/>
    <w:rsid w:val="00967748"/>
    <w:rsid w:val="009743A7"/>
    <w:rsid w:val="00976166"/>
    <w:rsid w:val="009763CD"/>
    <w:rsid w:val="00982F2A"/>
    <w:rsid w:val="00984410"/>
    <w:rsid w:val="00984FF0"/>
    <w:rsid w:val="00990207"/>
    <w:rsid w:val="00990440"/>
    <w:rsid w:val="0099226A"/>
    <w:rsid w:val="00993974"/>
    <w:rsid w:val="00993BE9"/>
    <w:rsid w:val="00994A5B"/>
    <w:rsid w:val="00995793"/>
    <w:rsid w:val="00996527"/>
    <w:rsid w:val="00996794"/>
    <w:rsid w:val="00997772"/>
    <w:rsid w:val="009A1643"/>
    <w:rsid w:val="009A1779"/>
    <w:rsid w:val="009A17C9"/>
    <w:rsid w:val="009A2F48"/>
    <w:rsid w:val="009A30E2"/>
    <w:rsid w:val="009A46B4"/>
    <w:rsid w:val="009A5A0D"/>
    <w:rsid w:val="009A7267"/>
    <w:rsid w:val="009B0900"/>
    <w:rsid w:val="009B2311"/>
    <w:rsid w:val="009B4895"/>
    <w:rsid w:val="009B505D"/>
    <w:rsid w:val="009B5614"/>
    <w:rsid w:val="009C08CD"/>
    <w:rsid w:val="009C2857"/>
    <w:rsid w:val="009C2BAC"/>
    <w:rsid w:val="009C2CEE"/>
    <w:rsid w:val="009C4214"/>
    <w:rsid w:val="009C5008"/>
    <w:rsid w:val="009C5480"/>
    <w:rsid w:val="009D12AA"/>
    <w:rsid w:val="009D1637"/>
    <w:rsid w:val="009D412A"/>
    <w:rsid w:val="009D4DC7"/>
    <w:rsid w:val="009D5161"/>
    <w:rsid w:val="009D5C01"/>
    <w:rsid w:val="009D7291"/>
    <w:rsid w:val="009D7672"/>
    <w:rsid w:val="009E002C"/>
    <w:rsid w:val="009E0729"/>
    <w:rsid w:val="009E2439"/>
    <w:rsid w:val="009E2729"/>
    <w:rsid w:val="009E28E5"/>
    <w:rsid w:val="009E32DD"/>
    <w:rsid w:val="009E5301"/>
    <w:rsid w:val="009E5DE8"/>
    <w:rsid w:val="009E64BB"/>
    <w:rsid w:val="009F32C7"/>
    <w:rsid w:val="009F36F0"/>
    <w:rsid w:val="009F516B"/>
    <w:rsid w:val="009F54AF"/>
    <w:rsid w:val="009F6963"/>
    <w:rsid w:val="009F7912"/>
    <w:rsid w:val="00A00C46"/>
    <w:rsid w:val="00A01FD9"/>
    <w:rsid w:val="00A0288D"/>
    <w:rsid w:val="00A030B2"/>
    <w:rsid w:val="00A043CA"/>
    <w:rsid w:val="00A04754"/>
    <w:rsid w:val="00A04DBC"/>
    <w:rsid w:val="00A04F74"/>
    <w:rsid w:val="00A05BB6"/>
    <w:rsid w:val="00A11D5C"/>
    <w:rsid w:val="00A1272D"/>
    <w:rsid w:val="00A148E5"/>
    <w:rsid w:val="00A14D9B"/>
    <w:rsid w:val="00A160B9"/>
    <w:rsid w:val="00A1713A"/>
    <w:rsid w:val="00A172A3"/>
    <w:rsid w:val="00A20A91"/>
    <w:rsid w:val="00A23083"/>
    <w:rsid w:val="00A235EC"/>
    <w:rsid w:val="00A24637"/>
    <w:rsid w:val="00A25A7D"/>
    <w:rsid w:val="00A2623F"/>
    <w:rsid w:val="00A305E3"/>
    <w:rsid w:val="00A31B69"/>
    <w:rsid w:val="00A33200"/>
    <w:rsid w:val="00A37C58"/>
    <w:rsid w:val="00A43A7A"/>
    <w:rsid w:val="00A44151"/>
    <w:rsid w:val="00A47699"/>
    <w:rsid w:val="00A50963"/>
    <w:rsid w:val="00A528D1"/>
    <w:rsid w:val="00A53E1D"/>
    <w:rsid w:val="00A554CB"/>
    <w:rsid w:val="00A56F1D"/>
    <w:rsid w:val="00A60D54"/>
    <w:rsid w:val="00A6191A"/>
    <w:rsid w:val="00A626C7"/>
    <w:rsid w:val="00A62813"/>
    <w:rsid w:val="00A637AB"/>
    <w:rsid w:val="00A65E7D"/>
    <w:rsid w:val="00A715B1"/>
    <w:rsid w:val="00A741F3"/>
    <w:rsid w:val="00A75307"/>
    <w:rsid w:val="00A75C2A"/>
    <w:rsid w:val="00A7746C"/>
    <w:rsid w:val="00A775F9"/>
    <w:rsid w:val="00A8064C"/>
    <w:rsid w:val="00A817BF"/>
    <w:rsid w:val="00A81BC7"/>
    <w:rsid w:val="00A82A04"/>
    <w:rsid w:val="00A82C44"/>
    <w:rsid w:val="00A879A2"/>
    <w:rsid w:val="00A90724"/>
    <w:rsid w:val="00A922E2"/>
    <w:rsid w:val="00A92FB1"/>
    <w:rsid w:val="00A9330F"/>
    <w:rsid w:val="00A945D6"/>
    <w:rsid w:val="00A9482A"/>
    <w:rsid w:val="00A953DD"/>
    <w:rsid w:val="00A954AE"/>
    <w:rsid w:val="00A96714"/>
    <w:rsid w:val="00A96AF5"/>
    <w:rsid w:val="00A97430"/>
    <w:rsid w:val="00AA034B"/>
    <w:rsid w:val="00AA0399"/>
    <w:rsid w:val="00AA0CBB"/>
    <w:rsid w:val="00AA26F6"/>
    <w:rsid w:val="00AA3903"/>
    <w:rsid w:val="00AA3F87"/>
    <w:rsid w:val="00AA4A86"/>
    <w:rsid w:val="00AA6316"/>
    <w:rsid w:val="00AB109E"/>
    <w:rsid w:val="00AB10AC"/>
    <w:rsid w:val="00AB1B40"/>
    <w:rsid w:val="00AB1E51"/>
    <w:rsid w:val="00AB34CE"/>
    <w:rsid w:val="00AB48EB"/>
    <w:rsid w:val="00AB52C3"/>
    <w:rsid w:val="00AB6A10"/>
    <w:rsid w:val="00AB6B20"/>
    <w:rsid w:val="00AB7093"/>
    <w:rsid w:val="00AB70E6"/>
    <w:rsid w:val="00AB72DF"/>
    <w:rsid w:val="00AB7947"/>
    <w:rsid w:val="00AC231E"/>
    <w:rsid w:val="00AC28AD"/>
    <w:rsid w:val="00AC73FE"/>
    <w:rsid w:val="00AD23E6"/>
    <w:rsid w:val="00AD2AC2"/>
    <w:rsid w:val="00AE0E0A"/>
    <w:rsid w:val="00AE1907"/>
    <w:rsid w:val="00AE2B55"/>
    <w:rsid w:val="00AE3FF6"/>
    <w:rsid w:val="00AE7F53"/>
    <w:rsid w:val="00AF090F"/>
    <w:rsid w:val="00AF0D00"/>
    <w:rsid w:val="00AF148A"/>
    <w:rsid w:val="00AF2421"/>
    <w:rsid w:val="00AF25E8"/>
    <w:rsid w:val="00AF2A41"/>
    <w:rsid w:val="00AF3097"/>
    <w:rsid w:val="00AF31F0"/>
    <w:rsid w:val="00AF5494"/>
    <w:rsid w:val="00AF56FD"/>
    <w:rsid w:val="00AF5D91"/>
    <w:rsid w:val="00AF69C0"/>
    <w:rsid w:val="00B00DA8"/>
    <w:rsid w:val="00B01F45"/>
    <w:rsid w:val="00B0262B"/>
    <w:rsid w:val="00B063F1"/>
    <w:rsid w:val="00B10095"/>
    <w:rsid w:val="00B100A5"/>
    <w:rsid w:val="00B10568"/>
    <w:rsid w:val="00B10EA3"/>
    <w:rsid w:val="00B134EC"/>
    <w:rsid w:val="00B149CF"/>
    <w:rsid w:val="00B16710"/>
    <w:rsid w:val="00B17D3B"/>
    <w:rsid w:val="00B17DE5"/>
    <w:rsid w:val="00B2028C"/>
    <w:rsid w:val="00B2112A"/>
    <w:rsid w:val="00B251AE"/>
    <w:rsid w:val="00B25A7E"/>
    <w:rsid w:val="00B25A89"/>
    <w:rsid w:val="00B30DE3"/>
    <w:rsid w:val="00B320F5"/>
    <w:rsid w:val="00B355C2"/>
    <w:rsid w:val="00B36152"/>
    <w:rsid w:val="00B3664A"/>
    <w:rsid w:val="00B36A6D"/>
    <w:rsid w:val="00B4058E"/>
    <w:rsid w:val="00B41065"/>
    <w:rsid w:val="00B41A61"/>
    <w:rsid w:val="00B42242"/>
    <w:rsid w:val="00B42C6D"/>
    <w:rsid w:val="00B42D20"/>
    <w:rsid w:val="00B44819"/>
    <w:rsid w:val="00B4548B"/>
    <w:rsid w:val="00B46642"/>
    <w:rsid w:val="00B47F20"/>
    <w:rsid w:val="00B50519"/>
    <w:rsid w:val="00B5244B"/>
    <w:rsid w:val="00B52B18"/>
    <w:rsid w:val="00B56C0A"/>
    <w:rsid w:val="00B60232"/>
    <w:rsid w:val="00B61564"/>
    <w:rsid w:val="00B6212C"/>
    <w:rsid w:val="00B6347A"/>
    <w:rsid w:val="00B63700"/>
    <w:rsid w:val="00B6622C"/>
    <w:rsid w:val="00B7356A"/>
    <w:rsid w:val="00B735CF"/>
    <w:rsid w:val="00B75F6A"/>
    <w:rsid w:val="00B76E40"/>
    <w:rsid w:val="00B8098B"/>
    <w:rsid w:val="00B827C0"/>
    <w:rsid w:val="00B82E32"/>
    <w:rsid w:val="00B8371C"/>
    <w:rsid w:val="00B8708E"/>
    <w:rsid w:val="00B871B8"/>
    <w:rsid w:val="00B87F50"/>
    <w:rsid w:val="00B91229"/>
    <w:rsid w:val="00B91A33"/>
    <w:rsid w:val="00B92825"/>
    <w:rsid w:val="00B92B58"/>
    <w:rsid w:val="00B9314A"/>
    <w:rsid w:val="00B948C8"/>
    <w:rsid w:val="00B9697E"/>
    <w:rsid w:val="00B97DEE"/>
    <w:rsid w:val="00BA0CF5"/>
    <w:rsid w:val="00BA2BF5"/>
    <w:rsid w:val="00BA3AC5"/>
    <w:rsid w:val="00BA585D"/>
    <w:rsid w:val="00BB19B0"/>
    <w:rsid w:val="00BB1A2B"/>
    <w:rsid w:val="00BB1C08"/>
    <w:rsid w:val="00BB5097"/>
    <w:rsid w:val="00BB7440"/>
    <w:rsid w:val="00BC0492"/>
    <w:rsid w:val="00BC7296"/>
    <w:rsid w:val="00BD053A"/>
    <w:rsid w:val="00BD529F"/>
    <w:rsid w:val="00BD5755"/>
    <w:rsid w:val="00BD5B53"/>
    <w:rsid w:val="00BD7AD9"/>
    <w:rsid w:val="00BE08E5"/>
    <w:rsid w:val="00BE32C5"/>
    <w:rsid w:val="00BE369F"/>
    <w:rsid w:val="00BE3FFC"/>
    <w:rsid w:val="00BE4365"/>
    <w:rsid w:val="00BE6E7A"/>
    <w:rsid w:val="00BE7790"/>
    <w:rsid w:val="00BF044A"/>
    <w:rsid w:val="00BF09E6"/>
    <w:rsid w:val="00BF3259"/>
    <w:rsid w:val="00BF33F7"/>
    <w:rsid w:val="00BF3823"/>
    <w:rsid w:val="00BF68FC"/>
    <w:rsid w:val="00BF705C"/>
    <w:rsid w:val="00BF7C74"/>
    <w:rsid w:val="00C01735"/>
    <w:rsid w:val="00C057E4"/>
    <w:rsid w:val="00C05977"/>
    <w:rsid w:val="00C07426"/>
    <w:rsid w:val="00C0771F"/>
    <w:rsid w:val="00C10839"/>
    <w:rsid w:val="00C129B3"/>
    <w:rsid w:val="00C12BE7"/>
    <w:rsid w:val="00C1356F"/>
    <w:rsid w:val="00C138AE"/>
    <w:rsid w:val="00C15C2C"/>
    <w:rsid w:val="00C17453"/>
    <w:rsid w:val="00C17E1A"/>
    <w:rsid w:val="00C206D0"/>
    <w:rsid w:val="00C2181E"/>
    <w:rsid w:val="00C22EA8"/>
    <w:rsid w:val="00C2350B"/>
    <w:rsid w:val="00C23B0A"/>
    <w:rsid w:val="00C23B12"/>
    <w:rsid w:val="00C24313"/>
    <w:rsid w:val="00C24B1B"/>
    <w:rsid w:val="00C24E62"/>
    <w:rsid w:val="00C253B7"/>
    <w:rsid w:val="00C25D3D"/>
    <w:rsid w:val="00C261A8"/>
    <w:rsid w:val="00C33CEC"/>
    <w:rsid w:val="00C34BCF"/>
    <w:rsid w:val="00C3538D"/>
    <w:rsid w:val="00C40F9F"/>
    <w:rsid w:val="00C41491"/>
    <w:rsid w:val="00C415A8"/>
    <w:rsid w:val="00C42E5B"/>
    <w:rsid w:val="00C43806"/>
    <w:rsid w:val="00C44025"/>
    <w:rsid w:val="00C445C6"/>
    <w:rsid w:val="00C46565"/>
    <w:rsid w:val="00C5050D"/>
    <w:rsid w:val="00C50A46"/>
    <w:rsid w:val="00C51B4B"/>
    <w:rsid w:val="00C548E0"/>
    <w:rsid w:val="00C557A5"/>
    <w:rsid w:val="00C55F69"/>
    <w:rsid w:val="00C61348"/>
    <w:rsid w:val="00C62754"/>
    <w:rsid w:val="00C62E99"/>
    <w:rsid w:val="00C63510"/>
    <w:rsid w:val="00C63589"/>
    <w:rsid w:val="00C65CD8"/>
    <w:rsid w:val="00C670A1"/>
    <w:rsid w:val="00C70BB6"/>
    <w:rsid w:val="00C71189"/>
    <w:rsid w:val="00C7496A"/>
    <w:rsid w:val="00C74DB4"/>
    <w:rsid w:val="00C7573A"/>
    <w:rsid w:val="00C75CBD"/>
    <w:rsid w:val="00C76BF5"/>
    <w:rsid w:val="00C778F3"/>
    <w:rsid w:val="00C81944"/>
    <w:rsid w:val="00C81E40"/>
    <w:rsid w:val="00C838E9"/>
    <w:rsid w:val="00C83FE3"/>
    <w:rsid w:val="00C85FD9"/>
    <w:rsid w:val="00C90239"/>
    <w:rsid w:val="00C91519"/>
    <w:rsid w:val="00C95A74"/>
    <w:rsid w:val="00C95EFA"/>
    <w:rsid w:val="00CA27AA"/>
    <w:rsid w:val="00CA2E94"/>
    <w:rsid w:val="00CA33D5"/>
    <w:rsid w:val="00CA5111"/>
    <w:rsid w:val="00CA6B03"/>
    <w:rsid w:val="00CA704E"/>
    <w:rsid w:val="00CB0826"/>
    <w:rsid w:val="00CB193F"/>
    <w:rsid w:val="00CB1CF5"/>
    <w:rsid w:val="00CB27E3"/>
    <w:rsid w:val="00CB284E"/>
    <w:rsid w:val="00CB4F4D"/>
    <w:rsid w:val="00CB5D46"/>
    <w:rsid w:val="00CB6994"/>
    <w:rsid w:val="00CC23FD"/>
    <w:rsid w:val="00CC28F8"/>
    <w:rsid w:val="00CC2BC3"/>
    <w:rsid w:val="00CC3005"/>
    <w:rsid w:val="00CC7906"/>
    <w:rsid w:val="00CD1574"/>
    <w:rsid w:val="00CD1F67"/>
    <w:rsid w:val="00CD3A78"/>
    <w:rsid w:val="00CD565D"/>
    <w:rsid w:val="00CD6EF2"/>
    <w:rsid w:val="00CE4C16"/>
    <w:rsid w:val="00CE5720"/>
    <w:rsid w:val="00CE5D64"/>
    <w:rsid w:val="00CE69A0"/>
    <w:rsid w:val="00CE6C1D"/>
    <w:rsid w:val="00CF12E9"/>
    <w:rsid w:val="00CF1DA7"/>
    <w:rsid w:val="00CF3BE2"/>
    <w:rsid w:val="00CF5CBF"/>
    <w:rsid w:val="00CF7CBD"/>
    <w:rsid w:val="00D02805"/>
    <w:rsid w:val="00D032B7"/>
    <w:rsid w:val="00D046B3"/>
    <w:rsid w:val="00D04D64"/>
    <w:rsid w:val="00D05C30"/>
    <w:rsid w:val="00D07525"/>
    <w:rsid w:val="00D10748"/>
    <w:rsid w:val="00D14B7A"/>
    <w:rsid w:val="00D207A1"/>
    <w:rsid w:val="00D216B7"/>
    <w:rsid w:val="00D2254C"/>
    <w:rsid w:val="00D25F03"/>
    <w:rsid w:val="00D27E57"/>
    <w:rsid w:val="00D30E68"/>
    <w:rsid w:val="00D30EBF"/>
    <w:rsid w:val="00D3207B"/>
    <w:rsid w:val="00D32239"/>
    <w:rsid w:val="00D32BA5"/>
    <w:rsid w:val="00D332A0"/>
    <w:rsid w:val="00D332D3"/>
    <w:rsid w:val="00D33EB4"/>
    <w:rsid w:val="00D3537B"/>
    <w:rsid w:val="00D3672E"/>
    <w:rsid w:val="00D377AC"/>
    <w:rsid w:val="00D37FC4"/>
    <w:rsid w:val="00D40EB3"/>
    <w:rsid w:val="00D446C6"/>
    <w:rsid w:val="00D44A76"/>
    <w:rsid w:val="00D47DC8"/>
    <w:rsid w:val="00D51209"/>
    <w:rsid w:val="00D51798"/>
    <w:rsid w:val="00D530EF"/>
    <w:rsid w:val="00D53CFC"/>
    <w:rsid w:val="00D53EE0"/>
    <w:rsid w:val="00D54BEB"/>
    <w:rsid w:val="00D5590E"/>
    <w:rsid w:val="00D5785D"/>
    <w:rsid w:val="00D600A2"/>
    <w:rsid w:val="00D61385"/>
    <w:rsid w:val="00D61A2D"/>
    <w:rsid w:val="00D657A1"/>
    <w:rsid w:val="00D65A5C"/>
    <w:rsid w:val="00D67ECC"/>
    <w:rsid w:val="00D70598"/>
    <w:rsid w:val="00D71682"/>
    <w:rsid w:val="00D7201F"/>
    <w:rsid w:val="00D74156"/>
    <w:rsid w:val="00D74385"/>
    <w:rsid w:val="00D743A5"/>
    <w:rsid w:val="00D76C0E"/>
    <w:rsid w:val="00D800DD"/>
    <w:rsid w:val="00D8045A"/>
    <w:rsid w:val="00D82E6C"/>
    <w:rsid w:val="00D83D65"/>
    <w:rsid w:val="00D84B93"/>
    <w:rsid w:val="00D90A29"/>
    <w:rsid w:val="00D934E6"/>
    <w:rsid w:val="00D93B0F"/>
    <w:rsid w:val="00D940A5"/>
    <w:rsid w:val="00D94138"/>
    <w:rsid w:val="00D96223"/>
    <w:rsid w:val="00D97966"/>
    <w:rsid w:val="00D979AD"/>
    <w:rsid w:val="00DA11C5"/>
    <w:rsid w:val="00DA11FA"/>
    <w:rsid w:val="00DA197A"/>
    <w:rsid w:val="00DA1D0F"/>
    <w:rsid w:val="00DA40D5"/>
    <w:rsid w:val="00DA42D6"/>
    <w:rsid w:val="00DA4954"/>
    <w:rsid w:val="00DA4A15"/>
    <w:rsid w:val="00DA56D2"/>
    <w:rsid w:val="00DA5A12"/>
    <w:rsid w:val="00DA70C9"/>
    <w:rsid w:val="00DA7578"/>
    <w:rsid w:val="00DB08EC"/>
    <w:rsid w:val="00DB0D93"/>
    <w:rsid w:val="00DB1EA3"/>
    <w:rsid w:val="00DB2D23"/>
    <w:rsid w:val="00DB4D15"/>
    <w:rsid w:val="00DB5045"/>
    <w:rsid w:val="00DB6F80"/>
    <w:rsid w:val="00DC19AC"/>
    <w:rsid w:val="00DC1B2F"/>
    <w:rsid w:val="00DC3180"/>
    <w:rsid w:val="00DC39B0"/>
    <w:rsid w:val="00DC41A0"/>
    <w:rsid w:val="00DC5060"/>
    <w:rsid w:val="00DC5283"/>
    <w:rsid w:val="00DC6657"/>
    <w:rsid w:val="00DC6B89"/>
    <w:rsid w:val="00DC76C3"/>
    <w:rsid w:val="00DC7BAD"/>
    <w:rsid w:val="00DD1478"/>
    <w:rsid w:val="00DD38B2"/>
    <w:rsid w:val="00DD4621"/>
    <w:rsid w:val="00DD4E8B"/>
    <w:rsid w:val="00DD6BF3"/>
    <w:rsid w:val="00DD7116"/>
    <w:rsid w:val="00DE0042"/>
    <w:rsid w:val="00DE064E"/>
    <w:rsid w:val="00DE1270"/>
    <w:rsid w:val="00DE2408"/>
    <w:rsid w:val="00DE4415"/>
    <w:rsid w:val="00DE50F9"/>
    <w:rsid w:val="00DE5A7B"/>
    <w:rsid w:val="00DE5C2D"/>
    <w:rsid w:val="00DE73CB"/>
    <w:rsid w:val="00DF3AA1"/>
    <w:rsid w:val="00DF3C1F"/>
    <w:rsid w:val="00DF5BFC"/>
    <w:rsid w:val="00DF65AE"/>
    <w:rsid w:val="00E0045E"/>
    <w:rsid w:val="00E01F63"/>
    <w:rsid w:val="00E10692"/>
    <w:rsid w:val="00E10995"/>
    <w:rsid w:val="00E1119C"/>
    <w:rsid w:val="00E116FE"/>
    <w:rsid w:val="00E13F1F"/>
    <w:rsid w:val="00E14741"/>
    <w:rsid w:val="00E15430"/>
    <w:rsid w:val="00E17623"/>
    <w:rsid w:val="00E213E7"/>
    <w:rsid w:val="00E21A90"/>
    <w:rsid w:val="00E229A7"/>
    <w:rsid w:val="00E277E9"/>
    <w:rsid w:val="00E30846"/>
    <w:rsid w:val="00E30904"/>
    <w:rsid w:val="00E30CDC"/>
    <w:rsid w:val="00E36D63"/>
    <w:rsid w:val="00E40C09"/>
    <w:rsid w:val="00E41029"/>
    <w:rsid w:val="00E418EB"/>
    <w:rsid w:val="00E42C71"/>
    <w:rsid w:val="00E44037"/>
    <w:rsid w:val="00E45950"/>
    <w:rsid w:val="00E45B70"/>
    <w:rsid w:val="00E47023"/>
    <w:rsid w:val="00E4786A"/>
    <w:rsid w:val="00E47A52"/>
    <w:rsid w:val="00E5245A"/>
    <w:rsid w:val="00E53046"/>
    <w:rsid w:val="00E530E3"/>
    <w:rsid w:val="00E531BF"/>
    <w:rsid w:val="00E53B16"/>
    <w:rsid w:val="00E565B2"/>
    <w:rsid w:val="00E62991"/>
    <w:rsid w:val="00E62AD5"/>
    <w:rsid w:val="00E63A2D"/>
    <w:rsid w:val="00E64301"/>
    <w:rsid w:val="00E65D27"/>
    <w:rsid w:val="00E6643A"/>
    <w:rsid w:val="00E71747"/>
    <w:rsid w:val="00E728AE"/>
    <w:rsid w:val="00E7378F"/>
    <w:rsid w:val="00E75805"/>
    <w:rsid w:val="00E7646A"/>
    <w:rsid w:val="00E816E2"/>
    <w:rsid w:val="00E8544B"/>
    <w:rsid w:val="00E85490"/>
    <w:rsid w:val="00E85EF7"/>
    <w:rsid w:val="00E86428"/>
    <w:rsid w:val="00E871F1"/>
    <w:rsid w:val="00E87283"/>
    <w:rsid w:val="00E9094D"/>
    <w:rsid w:val="00E92783"/>
    <w:rsid w:val="00E92C8C"/>
    <w:rsid w:val="00E935C7"/>
    <w:rsid w:val="00E93876"/>
    <w:rsid w:val="00E93CFC"/>
    <w:rsid w:val="00E93E44"/>
    <w:rsid w:val="00E95D32"/>
    <w:rsid w:val="00EA13A0"/>
    <w:rsid w:val="00EA159A"/>
    <w:rsid w:val="00EA199B"/>
    <w:rsid w:val="00EA365F"/>
    <w:rsid w:val="00EA428B"/>
    <w:rsid w:val="00EA5270"/>
    <w:rsid w:val="00EA5455"/>
    <w:rsid w:val="00EA6F83"/>
    <w:rsid w:val="00EB24A2"/>
    <w:rsid w:val="00EB3090"/>
    <w:rsid w:val="00EC0F61"/>
    <w:rsid w:val="00EC7ADC"/>
    <w:rsid w:val="00ED00E1"/>
    <w:rsid w:val="00ED0126"/>
    <w:rsid w:val="00ED0A38"/>
    <w:rsid w:val="00ED0FCD"/>
    <w:rsid w:val="00ED187A"/>
    <w:rsid w:val="00ED7BAC"/>
    <w:rsid w:val="00EE1DC6"/>
    <w:rsid w:val="00EE238C"/>
    <w:rsid w:val="00EE5D64"/>
    <w:rsid w:val="00EF0F3B"/>
    <w:rsid w:val="00EF1599"/>
    <w:rsid w:val="00EF1D87"/>
    <w:rsid w:val="00EF51BE"/>
    <w:rsid w:val="00EF54BF"/>
    <w:rsid w:val="00EF72A2"/>
    <w:rsid w:val="00EF7F16"/>
    <w:rsid w:val="00F0114B"/>
    <w:rsid w:val="00F0287A"/>
    <w:rsid w:val="00F02B41"/>
    <w:rsid w:val="00F03118"/>
    <w:rsid w:val="00F03179"/>
    <w:rsid w:val="00F0469F"/>
    <w:rsid w:val="00F10389"/>
    <w:rsid w:val="00F13B02"/>
    <w:rsid w:val="00F1608F"/>
    <w:rsid w:val="00F161CD"/>
    <w:rsid w:val="00F20B5E"/>
    <w:rsid w:val="00F2181B"/>
    <w:rsid w:val="00F221BC"/>
    <w:rsid w:val="00F22301"/>
    <w:rsid w:val="00F242E0"/>
    <w:rsid w:val="00F313FC"/>
    <w:rsid w:val="00F33B62"/>
    <w:rsid w:val="00F35C9A"/>
    <w:rsid w:val="00F376AD"/>
    <w:rsid w:val="00F422E9"/>
    <w:rsid w:val="00F427BC"/>
    <w:rsid w:val="00F42F51"/>
    <w:rsid w:val="00F433FC"/>
    <w:rsid w:val="00F458D7"/>
    <w:rsid w:val="00F51409"/>
    <w:rsid w:val="00F534D4"/>
    <w:rsid w:val="00F5601C"/>
    <w:rsid w:val="00F57F1E"/>
    <w:rsid w:val="00F57FD5"/>
    <w:rsid w:val="00F6069B"/>
    <w:rsid w:val="00F60EAF"/>
    <w:rsid w:val="00F622AA"/>
    <w:rsid w:val="00F62B5D"/>
    <w:rsid w:val="00F63011"/>
    <w:rsid w:val="00F661A9"/>
    <w:rsid w:val="00F66266"/>
    <w:rsid w:val="00F738EB"/>
    <w:rsid w:val="00F7412A"/>
    <w:rsid w:val="00F7492E"/>
    <w:rsid w:val="00F74A58"/>
    <w:rsid w:val="00F750F5"/>
    <w:rsid w:val="00F754CE"/>
    <w:rsid w:val="00F763F8"/>
    <w:rsid w:val="00F835E7"/>
    <w:rsid w:val="00F85582"/>
    <w:rsid w:val="00F86187"/>
    <w:rsid w:val="00F86423"/>
    <w:rsid w:val="00F93781"/>
    <w:rsid w:val="00F96DFB"/>
    <w:rsid w:val="00FA0AEC"/>
    <w:rsid w:val="00FA0D9B"/>
    <w:rsid w:val="00FA1434"/>
    <w:rsid w:val="00FA165C"/>
    <w:rsid w:val="00FA1EB5"/>
    <w:rsid w:val="00FA2BCF"/>
    <w:rsid w:val="00FA3779"/>
    <w:rsid w:val="00FA4357"/>
    <w:rsid w:val="00FA44F9"/>
    <w:rsid w:val="00FB1879"/>
    <w:rsid w:val="00FB5021"/>
    <w:rsid w:val="00FC008A"/>
    <w:rsid w:val="00FC1F0A"/>
    <w:rsid w:val="00FC27AB"/>
    <w:rsid w:val="00FC302B"/>
    <w:rsid w:val="00FC3173"/>
    <w:rsid w:val="00FC49F9"/>
    <w:rsid w:val="00FC690A"/>
    <w:rsid w:val="00FC6E70"/>
    <w:rsid w:val="00FC79D5"/>
    <w:rsid w:val="00FC7F3C"/>
    <w:rsid w:val="00FD2651"/>
    <w:rsid w:val="00FD4A46"/>
    <w:rsid w:val="00FD5BF6"/>
    <w:rsid w:val="00FD7BEF"/>
    <w:rsid w:val="00FE0919"/>
    <w:rsid w:val="00FE380E"/>
    <w:rsid w:val="00FE393F"/>
    <w:rsid w:val="00FE6446"/>
    <w:rsid w:val="00FE7143"/>
    <w:rsid w:val="00FE73CA"/>
    <w:rsid w:val="00FE7F6A"/>
    <w:rsid w:val="00FF2BA4"/>
    <w:rsid w:val="00FF3614"/>
    <w:rsid w:val="00FF3C31"/>
    <w:rsid w:val="00FF3D97"/>
    <w:rsid w:val="00FF42B2"/>
    <w:rsid w:val="00FF649C"/>
    <w:rsid w:val="00FF78B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docId w15:val="{74060BC5-086E-4377-97FB-618A1A1C8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rsid w:val="00AD2AC2"/>
    <w:pPr>
      <w:spacing w:before="100" w:beforeAutospacing="1" w:line="276" w:lineRule="auto"/>
      <w:ind w:left="567" w:right="567" w:firstLine="0"/>
    </w:pPr>
    <w:rPr>
      <w:rFonts w:ascii="Adobe Gurmukhi" w:hAnsi="Adobe Gurmukhi" w:cs="XB Kayhan"/>
      <w:szCs w:val="23"/>
      <w:lang w:val="es-CO"/>
    </w:rPr>
  </w:style>
  <w:style w:type="paragraph" w:styleId="Ttulo1">
    <w:name w:val="heading 1"/>
    <w:aliases w:val="Heading 11,Heading 1 Char Char Char Char Char Char Char,Heading 1 Char Char Char Char Char Char"/>
    <w:basedOn w:val="Normal"/>
    <w:next w:val="Normal"/>
    <w:link w:val="Ttulo1Car"/>
    <w:rsid w:val="00153223"/>
    <w:pPr>
      <w:keepNext/>
      <w:keepLines/>
      <w:spacing w:before="240" w:after="0"/>
      <w:outlineLvl w:val="0"/>
    </w:pPr>
    <w:rPr>
      <w:rFonts w:eastAsia="Times New Roman" w:cs="Times New Roman"/>
      <w:color w:val="FF0000"/>
      <w:sz w:val="40"/>
      <w:szCs w:val="32"/>
    </w:rPr>
  </w:style>
  <w:style w:type="paragraph" w:styleId="Ttulo2">
    <w:name w:val="heading 2"/>
    <w:basedOn w:val="Normal"/>
    <w:next w:val="Normal"/>
    <w:link w:val="Ttulo2C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Ttulo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Ttulo3Car"/>
    <w:unhideWhenUsed/>
    <w:rsid w:val="006009F1"/>
    <w:pPr>
      <w:keepNext/>
      <w:keepLines/>
      <w:spacing w:before="40" w:after="0"/>
      <w:outlineLvl w:val="2"/>
    </w:pPr>
    <w:rPr>
      <w:rFonts w:eastAsia="Times New Roman" w:cs="Times New Roman"/>
      <w:color w:val="1F4D78" w:themeColor="accent1" w:themeShade="7F"/>
      <w:sz w:val="24"/>
    </w:rPr>
  </w:style>
  <w:style w:type="paragraph" w:styleId="Ttulo4">
    <w:name w:val="heading 4"/>
    <w:basedOn w:val="Normal"/>
    <w:next w:val="Normal"/>
    <w:link w:val="Ttulo4C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ing 11 Car,Heading 1 Char Char Char Char Char Char Char Car,Heading 1 Char Char Char Char Char Char Car"/>
    <w:basedOn w:val="Fuentedeprrafopredeter"/>
    <w:link w:val="Ttulo1"/>
    <w:rsid w:val="00153223"/>
    <w:rPr>
      <w:rFonts w:ascii="Times New Roman" w:eastAsia="Times New Roman" w:hAnsi="Times New Roman" w:cs="Times New Roman"/>
      <w:color w:val="FF0000"/>
      <w:sz w:val="40"/>
      <w:szCs w:val="32"/>
    </w:rPr>
  </w:style>
  <w:style w:type="character" w:customStyle="1" w:styleId="Ttulo2Car">
    <w:name w:val="Título 2 Car"/>
    <w:basedOn w:val="Fuentedeprrafopredeter"/>
    <w:link w:val="Ttulo2"/>
    <w:rsid w:val="00717BEB"/>
    <w:rPr>
      <w:rFonts w:ascii="Times New Roman" w:eastAsia="Times New Roman" w:hAnsi="Times New Roman" w:cs="Times New Roman"/>
      <w:b/>
      <w:bCs/>
      <w:color w:val="5B9BD5" w:themeColor="accent1"/>
      <w:sz w:val="26"/>
      <w:szCs w:val="26"/>
    </w:rPr>
  </w:style>
  <w:style w:type="character" w:customStyle="1" w:styleId="Ttulo3Car">
    <w:name w:val="Título 3 Car"/>
    <w:aliases w:val="عنوان قسمت فرعي زيربخش Car,تيتر دو رقمي Car,H3 Car,vision2 Car,Heading 3 Char Char Char Car,Heading 3 Char Char Char Char Car,Heading 3 Char Char Char Char Char Char Car,Heading 3 Char Char Char Char Char Char Char Char Car"/>
    <w:basedOn w:val="Fuentedeprrafopredeter"/>
    <w:link w:val="Ttulo3"/>
    <w:rsid w:val="006009F1"/>
    <w:rPr>
      <w:rFonts w:ascii="Times New Roman" w:eastAsia="Times New Roman" w:hAnsi="Times New Roman" w:cs="Times New Roman"/>
      <w:color w:val="1F4D78" w:themeColor="accent1" w:themeShade="7F"/>
      <w:sz w:val="24"/>
    </w:rPr>
  </w:style>
  <w:style w:type="paragraph" w:styleId="Encabezado">
    <w:name w:val="header"/>
    <w:basedOn w:val="Normal"/>
    <w:link w:val="EncabezadoCar"/>
    <w:unhideWhenUsed/>
    <w:rsid w:val="00514B36"/>
    <w:pPr>
      <w:tabs>
        <w:tab w:val="center" w:pos="4680"/>
        <w:tab w:val="right" w:pos="9360"/>
      </w:tabs>
      <w:spacing w:before="0" w:after="0"/>
    </w:pPr>
  </w:style>
  <w:style w:type="character" w:customStyle="1" w:styleId="EncabezadoCar">
    <w:name w:val="Encabezado Car"/>
    <w:basedOn w:val="Fuentedeprrafopredeter"/>
    <w:link w:val="Encabezado"/>
    <w:rsid w:val="00514B36"/>
  </w:style>
  <w:style w:type="paragraph" w:styleId="Piedepgina">
    <w:name w:val="footer"/>
    <w:basedOn w:val="Normal"/>
    <w:link w:val="PiedepginaCar"/>
    <w:uiPriority w:val="99"/>
    <w:unhideWhenUsed/>
    <w:rsid w:val="00514B36"/>
    <w:pPr>
      <w:tabs>
        <w:tab w:val="center" w:pos="4680"/>
        <w:tab w:val="right" w:pos="9360"/>
      </w:tabs>
      <w:spacing w:before="0" w:after="0"/>
    </w:pPr>
  </w:style>
  <w:style w:type="character" w:customStyle="1" w:styleId="PiedepginaCar">
    <w:name w:val="Pie de página Car"/>
    <w:basedOn w:val="Fuentedeprrafopredeter"/>
    <w:link w:val="Piedepgina"/>
    <w:uiPriority w:val="99"/>
    <w:rsid w:val="00514B36"/>
  </w:style>
  <w:style w:type="character" w:customStyle="1" w:styleId="fontstyle01">
    <w:name w:val="fontstyle01"/>
    <w:basedOn w:val="Fuentedeprrafopredeter"/>
    <w:rsid w:val="00B10EA3"/>
    <w:rPr>
      <w:rFonts w:cs="B Lotus" w:hint="cs"/>
      <w:b/>
      <w:bCs/>
      <w:i w:val="0"/>
      <w:iCs w:val="0"/>
      <w:color w:val="000000"/>
      <w:sz w:val="32"/>
      <w:szCs w:val="32"/>
    </w:rPr>
  </w:style>
  <w:style w:type="character" w:customStyle="1" w:styleId="fontstyle21">
    <w:name w:val="fontstyle21"/>
    <w:basedOn w:val="Fuentedeprrafopredeter"/>
    <w:rsid w:val="00B10EA3"/>
    <w:rPr>
      <w:rFonts w:ascii="Times New Roman" w:hAnsi="Times New Roman" w:cs="Times New Roman" w:hint="default"/>
      <w:b/>
      <w:bCs/>
      <w:i w:val="0"/>
      <w:iCs w:val="0"/>
      <w:color w:val="000000"/>
      <w:sz w:val="32"/>
      <w:szCs w:val="32"/>
    </w:rPr>
  </w:style>
  <w:style w:type="table" w:styleId="Tablaconcuadrcula">
    <w:name w:val="Table Grid"/>
    <w:aliases w:val="APA"/>
    <w:basedOn w:val="Tabla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tuloCar">
    <w:name w:val="Título Car"/>
    <w:basedOn w:val="Fuentedeprrafopredeter"/>
    <w:link w:val="Ttulo"/>
    <w:rsid w:val="00365FE9"/>
    <w:rPr>
      <w:rFonts w:ascii="Arial" w:eastAsia="Times New Roman" w:hAnsi="Arial" w:cs="Arial"/>
      <w:color w:val="auto"/>
      <w:spacing w:val="-10"/>
      <w:kern w:val="28"/>
      <w:sz w:val="36"/>
      <w:szCs w:val="56"/>
    </w:rPr>
  </w:style>
  <w:style w:type="paragraph" w:customStyle="1" w:styleId="a6">
    <w:name w:val="عنوان نشریه"/>
    <w:link w:val="Char"/>
    <w:rsid w:val="005115E7"/>
    <w:pPr>
      <w:spacing w:before="0" w:after="0"/>
      <w:jc w:val="center"/>
    </w:pPr>
    <w:rPr>
      <w:rFonts w:ascii="Arial" w:hAnsi="Arial" w:cs="IRTitr"/>
      <w:b/>
      <w:sz w:val="32"/>
      <w:szCs w:val="32"/>
    </w:rPr>
  </w:style>
  <w:style w:type="character" w:customStyle="1" w:styleId="Char">
    <w:name w:val="عنوان نشریه Char"/>
    <w:basedOn w:val="TtuloCar"/>
    <w:link w:val="a6"/>
    <w:rsid w:val="005115E7"/>
    <w:rPr>
      <w:rFonts w:ascii="Arial" w:eastAsia="Times New Roman" w:hAnsi="Arial" w:cs="IRTitr"/>
      <w:b/>
      <w:color w:val="auto"/>
      <w:spacing w:val="-10"/>
      <w:kern w:val="28"/>
      <w:sz w:val="32"/>
      <w:szCs w:val="32"/>
    </w:rPr>
  </w:style>
  <w:style w:type="paragraph" w:styleId="Sinespaciado">
    <w:name w:val="No Spacing"/>
    <w:link w:val="SinespaciadoCar"/>
    <w:uiPriority w:val="1"/>
    <w:rsid w:val="00365FE9"/>
    <w:pPr>
      <w:spacing w:before="0" w:after="0"/>
    </w:pPr>
  </w:style>
  <w:style w:type="paragraph" w:customStyle="1" w:styleId="a7">
    <w:name w:val="نویسنده"/>
    <w:link w:val="Char0"/>
    <w:autoRedefine/>
    <w:rsid w:val="00E14741"/>
    <w:pPr>
      <w:framePr w:hSpace="187" w:wrap="around" w:vAnchor="page" w:hAnchor="margin" w:xAlign="center" w:y="820"/>
      <w:spacing w:before="0" w:after="0" w:afterAutospacing="0"/>
      <w:ind w:left="0" w:firstLine="90"/>
      <w:suppressOverlap/>
      <w:jc w:val="left"/>
    </w:pPr>
    <w:rPr>
      <w:rFonts w:ascii="IRNazanin" w:hAnsi="IRNazanin" w:cs="B Compset"/>
      <w:b/>
      <w:bCs/>
      <w:i/>
      <w:sz w:val="30"/>
      <w:szCs w:val="30"/>
      <w:lang w:bidi="fa-IR"/>
    </w:rPr>
  </w:style>
  <w:style w:type="character" w:customStyle="1" w:styleId="Char0">
    <w:name w:val="نویسنده Char"/>
    <w:basedOn w:val="Char"/>
    <w:link w:val="a7"/>
    <w:rsid w:val="00E14741"/>
    <w:rPr>
      <w:rFonts w:ascii="IRNazanin" w:eastAsia="Times New Roman" w:hAnsi="IRNazanin" w:cs="B Compset"/>
      <w:b/>
      <w:bCs/>
      <w:i/>
      <w:color w:val="auto"/>
      <w:spacing w:val="-10"/>
      <w:kern w:val="28"/>
      <w:sz w:val="30"/>
      <w:szCs w:val="30"/>
      <w:lang w:bidi="fa-IR"/>
    </w:rPr>
  </w:style>
  <w:style w:type="paragraph" w:customStyle="1" w:styleId="a8">
    <w:name w:val="وابستگی"/>
    <w:basedOn w:val="02"/>
    <w:link w:val="Char1"/>
    <w:autoRedefine/>
    <w:rsid w:val="00474357"/>
    <w:pPr>
      <w:framePr w:hSpace="187" w:wrap="around" w:vAnchor="page" w:hAnchor="margin" w:xAlign="center" w:y="820"/>
      <w:pBdr>
        <w:top w:val="none" w:sz="0" w:space="0" w:color="auto"/>
      </w:pBdr>
      <w:suppressOverlap/>
    </w:pPr>
    <w:rPr>
      <w:rFonts w:cs="2  Mitra"/>
      <w:iCs/>
      <w:szCs w:val="20"/>
      <w:vertAlign w:val="superscript"/>
    </w:rPr>
  </w:style>
  <w:style w:type="character" w:customStyle="1" w:styleId="Char1">
    <w:name w:val="وابستگی Char"/>
    <w:basedOn w:val="Fuentedeprrafopredeter"/>
    <w:link w:val="a8"/>
    <w:rsid w:val="00474357"/>
    <w:rPr>
      <w:rFonts w:ascii="Times New Roman Bold" w:eastAsia="B Nazanin" w:hAnsi="Times New Roman Bold" w:cs="2  Mitra"/>
      <w:b/>
      <w:bCs/>
      <w:iCs/>
      <w:color w:val="000000" w:themeColor="text1"/>
      <w:szCs w:val="20"/>
      <w:vertAlign w:val="superscript"/>
      <w:lang w:bidi="fa-IR"/>
    </w:rPr>
  </w:style>
  <w:style w:type="paragraph" w:customStyle="1" w:styleId="a9">
    <w:name w:val="چکیده"/>
    <w:link w:val="Char2"/>
    <w:rsid w:val="00474357"/>
    <w:pPr>
      <w:spacing w:before="0"/>
      <w:ind w:left="994" w:right="1701" w:firstLine="4"/>
      <w:jc w:val="left"/>
    </w:pPr>
    <w:rPr>
      <w:rFonts w:ascii="Adobe Gurmukhi" w:hAnsi="Adobe Gurmukhi" w:cs="XB Kayhan"/>
      <w:sz w:val="20"/>
      <w:szCs w:val="20"/>
    </w:rPr>
  </w:style>
  <w:style w:type="character" w:customStyle="1" w:styleId="Char2">
    <w:name w:val="چکیده Char"/>
    <w:basedOn w:val="Fuentedeprrafopredeter"/>
    <w:link w:val="a9"/>
    <w:rsid w:val="00474357"/>
    <w:rPr>
      <w:rFonts w:ascii="Adobe Gurmukhi" w:hAnsi="Adobe Gurmukhi" w:cs="XB Kayhan"/>
      <w:sz w:val="20"/>
      <w:szCs w:val="20"/>
    </w:rPr>
  </w:style>
  <w:style w:type="paragraph" w:customStyle="1" w:styleId="aa">
    <w:name w:val="تیتر اول"/>
    <w:basedOn w:val="Ttulo1"/>
    <w:link w:val="Char3"/>
    <w:rsid w:val="008620F8"/>
    <w:rPr>
      <w:rFonts w:eastAsiaTheme="minorHAnsi" w:cs="XB Kayhan"/>
      <w:b/>
      <w:bCs/>
      <w:color w:val="auto"/>
      <w:sz w:val="24"/>
      <w:szCs w:val="26"/>
      <w:lang w:bidi="fa-IR"/>
    </w:rPr>
  </w:style>
  <w:style w:type="character" w:customStyle="1" w:styleId="Char3">
    <w:name w:val="تیتر اول Char"/>
    <w:basedOn w:val="Fuentedeprrafopredeter"/>
    <w:link w:val="aa"/>
    <w:rsid w:val="008620F8"/>
    <w:rPr>
      <w:rFonts w:ascii="Adobe Gurmukhi" w:hAnsi="Adobe Gurmukhi" w:cs="XB Kayhan"/>
      <w:b/>
      <w:bCs/>
      <w:color w:val="auto"/>
      <w:sz w:val="24"/>
      <w:szCs w:val="26"/>
      <w:lang w:bidi="fa-IR"/>
    </w:rPr>
  </w:style>
  <w:style w:type="paragraph" w:customStyle="1" w:styleId="ab">
    <w:name w:val="تیتر دوم"/>
    <w:basedOn w:val="Ttulo2"/>
    <w:link w:val="Char4"/>
    <w:rsid w:val="00F2181B"/>
    <w:pPr>
      <w:spacing w:before="100" w:after="100"/>
    </w:pPr>
    <w:rPr>
      <w:rFonts w:cs="XB Kayhan"/>
      <w:color w:val="000000" w:themeColor="text1"/>
      <w:sz w:val="22"/>
      <w:szCs w:val="24"/>
    </w:rPr>
  </w:style>
  <w:style w:type="character" w:customStyle="1" w:styleId="Char4">
    <w:name w:val="تیتر دوم Char"/>
    <w:basedOn w:val="Fuentedeprrafopredeter"/>
    <w:link w:val="ab"/>
    <w:rsid w:val="00F2181B"/>
    <w:rPr>
      <w:rFonts w:ascii="Adobe Gurmukhi" w:eastAsia="Times New Roman" w:hAnsi="Adobe Gurmukhi" w:cs="XB Kayhan"/>
      <w:b/>
      <w:bCs/>
      <w:color w:val="000000" w:themeColor="text1"/>
    </w:rPr>
  </w:style>
  <w:style w:type="paragraph" w:customStyle="1" w:styleId="ac">
    <w:name w:val="تیتر سوم"/>
    <w:basedOn w:val="Ttulo3"/>
    <w:link w:val="Char5"/>
    <w:rsid w:val="00564E71"/>
    <w:pPr>
      <w:ind w:firstLine="285"/>
    </w:pPr>
    <w:rPr>
      <w:rFonts w:cs="XB Kayhan"/>
      <w:color w:val="000000" w:themeColor="text1"/>
      <w:sz w:val="20"/>
    </w:rPr>
  </w:style>
  <w:style w:type="character" w:customStyle="1" w:styleId="Char5">
    <w:name w:val="تیتر سوم Char"/>
    <w:basedOn w:val="Fuentedeprrafopredeter"/>
    <w:link w:val="ac"/>
    <w:rsid w:val="00564E71"/>
    <w:rPr>
      <w:rFonts w:ascii="Adobe Gurmukhi" w:eastAsia="Times New Roman" w:hAnsi="Adobe Gurmukhi" w:cs="XB Kayhan"/>
      <w:color w:val="000000" w:themeColor="text1"/>
      <w:sz w:val="20"/>
    </w:rPr>
  </w:style>
  <w:style w:type="paragraph" w:styleId="Textonotapie">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TextonotapieCar"/>
    <w:uiPriority w:val="99"/>
    <w:unhideWhenUsed/>
    <w:rsid w:val="00A75C2A"/>
    <w:pPr>
      <w:spacing w:before="0" w:after="0"/>
    </w:pPr>
    <w:rPr>
      <w:szCs w:val="20"/>
    </w:rPr>
  </w:style>
  <w:style w:type="character" w:customStyle="1" w:styleId="TextonotapieCar">
    <w:name w:val="Texto nota pie Car"/>
    <w:aliases w:val="Char Car,Footnote Text1 Char Char Car,Char Char Char Char Car,Char Char Char Char Char Char Char Car,Char Char Char Char Char Char Char Char Char Char Char Char Char Char Char Char Char Char Char Char Char Char Char Car,پاورقی Car"/>
    <w:basedOn w:val="Fuentedeprrafopredeter"/>
    <w:link w:val="Textonotapie"/>
    <w:uiPriority w:val="99"/>
    <w:rsid w:val="00A75C2A"/>
    <w:rPr>
      <w:rFonts w:cs="B Lotus"/>
      <w:sz w:val="20"/>
      <w:szCs w:val="20"/>
    </w:rPr>
  </w:style>
  <w:style w:type="character" w:styleId="Refdenotaalpie">
    <w:name w:val="footnote reference"/>
    <w:aliases w:val="شماره زيرنويس,مرجع پاورقي,Footnote,ÔãÇÑå ÒíÑäæíÓ,ãÑÌÚ ÇæÑÞí,Omid Footnote,Footnote text"/>
    <w:basedOn w:val="Fuentedeprrafopredeter"/>
    <w:uiPriority w:val="99"/>
    <w:unhideWhenUsed/>
    <w:rsid w:val="00A75C2A"/>
    <w:rPr>
      <w:vertAlign w:val="superscript"/>
    </w:rPr>
  </w:style>
  <w:style w:type="paragraph" w:customStyle="1" w:styleId="ad">
    <w:name w:val="شکل"/>
    <w:basedOn w:val="Normal"/>
    <w:link w:val="Char6"/>
    <w:rsid w:val="00AB109E"/>
    <w:pPr>
      <w:spacing w:before="0" w:beforeAutospacing="0" w:after="0" w:afterAutospacing="0"/>
      <w:jc w:val="center"/>
    </w:pPr>
    <w:rPr>
      <w:rFonts w:cs="IRNazanin"/>
      <w:bCs/>
      <w:sz w:val="18"/>
      <w:szCs w:val="20"/>
    </w:rPr>
  </w:style>
  <w:style w:type="character" w:customStyle="1" w:styleId="Char6">
    <w:name w:val="شکل Char"/>
    <w:basedOn w:val="Fuentedeprrafopredeter"/>
    <w:link w:val="ad"/>
    <w:rsid w:val="00AB109E"/>
    <w:rPr>
      <w:rFonts w:ascii="Adobe Gurmukhi" w:hAnsi="Adobe Gurmukhi" w:cs="IRNazanin"/>
      <w:bCs/>
      <w:sz w:val="18"/>
      <w:szCs w:val="20"/>
    </w:rPr>
  </w:style>
  <w:style w:type="paragraph" w:customStyle="1" w:styleId="ae">
    <w:name w:val="منابع"/>
    <w:basedOn w:val="Listaconvietas"/>
    <w:next w:val="Listaconnmeros"/>
    <w:link w:val="Char7"/>
    <w:rsid w:val="00E71747"/>
    <w:pPr>
      <w:spacing w:before="0" w:beforeAutospacing="0" w:after="0" w:afterAutospacing="0"/>
      <w:ind w:left="852" w:hanging="283"/>
    </w:pPr>
    <w:rPr>
      <w:rFonts w:ascii="Cambria" w:hAnsi="Cambria" w:cs="IRNazanin"/>
      <w:sz w:val="18"/>
      <w:szCs w:val="20"/>
      <w:lang w:bidi="fa-IR"/>
    </w:rPr>
  </w:style>
  <w:style w:type="paragraph" w:styleId="Listaconvietas">
    <w:name w:val="List Bullet"/>
    <w:basedOn w:val="Normal"/>
    <w:uiPriority w:val="99"/>
    <w:semiHidden/>
    <w:unhideWhenUsed/>
    <w:rsid w:val="004B2AC2"/>
    <w:pPr>
      <w:ind w:left="0"/>
      <w:contextualSpacing/>
    </w:pPr>
  </w:style>
  <w:style w:type="paragraph" w:styleId="Listaconnmeros">
    <w:name w:val="List Number"/>
    <w:basedOn w:val="Normal"/>
    <w:unhideWhenUsed/>
    <w:rsid w:val="004B2AC2"/>
    <w:pPr>
      <w:numPr>
        <w:numId w:val="1"/>
      </w:numPr>
      <w:contextualSpacing/>
    </w:pPr>
  </w:style>
  <w:style w:type="character" w:customStyle="1" w:styleId="Char7">
    <w:name w:val="منابع Char"/>
    <w:basedOn w:val="Char3"/>
    <w:link w:val="ae"/>
    <w:rsid w:val="00E71747"/>
    <w:rPr>
      <w:rFonts w:ascii="Cambria" w:hAnsi="Cambria" w:cs="IRNazanin"/>
      <w:b w:val="0"/>
      <w:bCs w:val="0"/>
      <w:color w:val="auto"/>
      <w:sz w:val="18"/>
      <w:szCs w:val="20"/>
      <w:lang w:bidi="fa-IR"/>
    </w:rPr>
  </w:style>
  <w:style w:type="paragraph" w:customStyle="1" w:styleId="references0">
    <w:name w:val="references"/>
    <w:basedOn w:val="Normal"/>
    <w:link w:val="referencesChar"/>
    <w:rsid w:val="004856D8"/>
    <w:pPr>
      <w:bidi w:val="0"/>
    </w:pPr>
    <w:rPr>
      <w:rFonts w:asciiTheme="majorBidi" w:hAnsiTheme="majorBidi" w:cstheme="majorBidi"/>
      <w:sz w:val="20"/>
      <w:szCs w:val="20"/>
    </w:rPr>
  </w:style>
  <w:style w:type="paragraph" w:styleId="Lista2">
    <w:name w:val="List 2"/>
    <w:basedOn w:val="Normal"/>
    <w:unhideWhenUsed/>
    <w:rsid w:val="00510573"/>
    <w:pPr>
      <w:ind w:left="720" w:hanging="360"/>
      <w:contextualSpacing/>
    </w:pPr>
  </w:style>
  <w:style w:type="character" w:customStyle="1" w:styleId="referencesChar">
    <w:name w:val="references Char"/>
    <w:basedOn w:val="Char3"/>
    <w:link w:val="references0"/>
    <w:rsid w:val="004856D8"/>
    <w:rPr>
      <w:rFonts w:asciiTheme="majorBidi" w:hAnsiTheme="majorBidi" w:cstheme="majorBidi"/>
      <w:b w:val="0"/>
      <w:bCs w:val="0"/>
      <w:color w:val="auto"/>
      <w:sz w:val="20"/>
      <w:szCs w:val="20"/>
      <w:lang w:bidi="fa-IR"/>
    </w:rPr>
  </w:style>
  <w:style w:type="paragraph" w:styleId="Prrafodelista">
    <w:name w:val="List Paragraph"/>
    <w:aliases w:val="Head2,Subtitle 3,List Paragraph1,تیتر 8,ليست همراه با شماره-فاصله خطوط 1"/>
    <w:basedOn w:val="Normal"/>
    <w:link w:val="PrrafodelistaCar"/>
    <w:rsid w:val="004B2AC2"/>
    <w:pPr>
      <w:ind w:left="720"/>
      <w:contextualSpacing/>
    </w:pPr>
  </w:style>
  <w:style w:type="paragraph" w:styleId="Listaconvietas2">
    <w:name w:val="List Bullet 2"/>
    <w:basedOn w:val="Normal"/>
    <w:unhideWhenUsed/>
    <w:rsid w:val="00C44025"/>
    <w:pPr>
      <w:ind w:left="0"/>
      <w:contextualSpacing/>
    </w:pPr>
  </w:style>
  <w:style w:type="character" w:styleId="Hipervnculo">
    <w:name w:val="Hyperlink"/>
    <w:basedOn w:val="Fuentedeprrafopredeter"/>
    <w:unhideWhenUsed/>
    <w:rsid w:val="000726BD"/>
    <w:rPr>
      <w:color w:val="0563C1" w:themeColor="hyperlink"/>
      <w:u w:val="single"/>
    </w:rPr>
  </w:style>
  <w:style w:type="paragraph" w:styleId="Textodeglobo">
    <w:name w:val="Balloon Text"/>
    <w:basedOn w:val="Normal"/>
    <w:link w:val="TextodegloboCar"/>
    <w:uiPriority w:val="99"/>
    <w:unhideWhenUsed/>
    <w:rsid w:val="00717BE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rsid w:val="00717BEB"/>
    <w:rPr>
      <w:rFonts w:ascii="Tahoma" w:hAnsi="Tahoma" w:cs="Tahoma"/>
      <w:sz w:val="16"/>
      <w:szCs w:val="16"/>
    </w:rPr>
  </w:style>
  <w:style w:type="character" w:customStyle="1" w:styleId="title-text">
    <w:name w:val="title-text"/>
    <w:basedOn w:val="Fuentedeprrafopredeter"/>
    <w:rsid w:val="00717BEB"/>
  </w:style>
  <w:style w:type="character" w:customStyle="1" w:styleId="size-m">
    <w:name w:val="size-m"/>
    <w:basedOn w:val="Fuentedeprrafopredeter"/>
    <w:rsid w:val="00717BEB"/>
  </w:style>
  <w:style w:type="character" w:customStyle="1" w:styleId="text">
    <w:name w:val="text"/>
    <w:basedOn w:val="Fuentedeprrafopredeter"/>
    <w:rsid w:val="00717BEB"/>
  </w:style>
  <w:style w:type="character" w:customStyle="1" w:styleId="author-ref">
    <w:name w:val="author-ref"/>
    <w:basedOn w:val="Fuentedeprrafopredeter"/>
    <w:rsid w:val="00717BEB"/>
  </w:style>
  <w:style w:type="table" w:customStyle="1" w:styleId="TableGrid1">
    <w:name w:val="Table Grid1"/>
    <w:basedOn w:val="Tablanormal"/>
    <w:next w:val="Tablaconcuadrcula"/>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anormal"/>
    <w:next w:val="Tablaconcuadrcula"/>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link w:val="DescripcinC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Cs w:val="22"/>
      <w:lang w:bidi="fa-IR"/>
    </w:rPr>
  </w:style>
  <w:style w:type="table" w:customStyle="1" w:styleId="TableGrid11">
    <w:name w:val="Table Grid11"/>
    <w:basedOn w:val="Tablanormal"/>
    <w:next w:val="Tablaconcuadrcula"/>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customStyle="1" w:styleId="PlainTable21">
    <w:name w:val="Plain Table 21"/>
    <w:basedOn w:val="Tabla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tulo4Car">
    <w:name w:val="Título 4 Car"/>
    <w:basedOn w:val="Fuentedeprrafopredeter"/>
    <w:link w:val="Ttulo4"/>
    <w:rsid w:val="006847E3"/>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rsid w:val="006847E3"/>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rsid w:val="006847E3"/>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rsid w:val="006847E3"/>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rsid w:val="006847E3"/>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Cs w:val="22"/>
      <w:lang w:bidi="fa-IR"/>
    </w:rPr>
  </w:style>
  <w:style w:type="paragraph" w:customStyle="1" w:styleId="Tittle-2">
    <w:name w:val="Tittle-2"/>
    <w:basedOn w:val="Normal"/>
    <w:rsid w:val="006847E3"/>
    <w:pPr>
      <w:spacing w:before="0" w:beforeAutospacing="0" w:after="0" w:afterAutospacing="0"/>
      <w:ind w:left="0" w:right="0"/>
      <w:jc w:val="left"/>
    </w:pPr>
    <w:rPr>
      <w:rFonts w:eastAsia="Times New Roman" w:cs="B Nazanin"/>
      <w:b/>
      <w:bCs/>
      <w:noProof/>
      <w:color w:val="auto"/>
      <w:lang w:bidi="fa-IR"/>
    </w:rPr>
  </w:style>
  <w:style w:type="paragraph" w:customStyle="1" w:styleId="Tittle-1">
    <w:name w:val="Tittle-1"/>
    <w:basedOn w:val="Normal"/>
    <w:rsid w:val="006847E3"/>
    <w:pPr>
      <w:spacing w:before="0" w:beforeAutospacing="0" w:after="0" w:afterAutospacing="0"/>
      <w:ind w:left="0" w:right="0"/>
      <w:jc w:val="left"/>
    </w:pPr>
    <w:rPr>
      <w:rFonts w:eastAsia="Times New Roman" w:cs="B Nazanin"/>
      <w:b/>
      <w:bCs/>
      <w:noProof/>
      <w:color w:val="auto"/>
      <w:szCs w:val="26"/>
      <w:lang w:bidi="fa-IR"/>
    </w:rPr>
  </w:style>
  <w:style w:type="paragraph" w:customStyle="1" w:styleId="7onvan2">
    <w:name w:val="@7.onvan2"/>
    <w:basedOn w:val="Prrafodelista"/>
    <w:rsid w:val="006847E3"/>
    <w:pPr>
      <w:tabs>
        <w:tab w:val="right" w:pos="472"/>
      </w:tabs>
      <w:spacing w:before="0" w:beforeAutospacing="0" w:after="200" w:afterAutospacing="0"/>
      <w:ind w:left="1440" w:right="0" w:hanging="360"/>
      <w:jc w:val="mediumKashida"/>
    </w:pPr>
    <w:rPr>
      <w:rFonts w:ascii="Calibri" w:eastAsia="Times New Roman" w:hAnsi="Calibri" w:cs="B Nazanin"/>
      <w:b/>
      <w:bCs/>
      <w:color w:val="auto"/>
      <w:sz w:val="24"/>
    </w:rPr>
  </w:style>
  <w:style w:type="character" w:customStyle="1" w:styleId="PrrafodelistaCar">
    <w:name w:val="Párrafo de lista Car"/>
    <w:aliases w:val="Head2 Car,Subtitle 3 Car,List Paragraph1 Car,تیتر 8 Car,ليست همراه با شماره-فاصله خطوط 1 Car"/>
    <w:link w:val="Prrafodelista"/>
    <w:rsid w:val="006847E3"/>
    <w:rPr>
      <w:rFonts w:cs="B Lotus"/>
      <w:sz w:val="20"/>
    </w:rPr>
  </w:style>
  <w:style w:type="paragraph" w:styleId="Bibliografa">
    <w:name w:val="Bibliography"/>
    <w:basedOn w:val="Normal"/>
    <w:next w:val="Normal"/>
    <w:uiPriority w:val="37"/>
    <w:unhideWhenUsed/>
    <w:rsid w:val="006847E3"/>
    <w:rPr>
      <w:color w:val="auto"/>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Textodelmarcadordeposicin">
    <w:name w:val="Placeholder Text"/>
    <w:basedOn w:val="Fuentedeprrafopredeter"/>
    <w:rsid w:val="006847E3"/>
    <w:rPr>
      <w:color w:val="808080"/>
    </w:rPr>
  </w:style>
  <w:style w:type="character" w:styleId="Refdecomentario">
    <w:name w:val="annotation reference"/>
    <w:basedOn w:val="Fuentedeprrafopredeter"/>
    <w:uiPriority w:val="99"/>
    <w:unhideWhenUsed/>
    <w:rsid w:val="006847E3"/>
    <w:rPr>
      <w:sz w:val="16"/>
      <w:szCs w:val="16"/>
    </w:rPr>
  </w:style>
  <w:style w:type="paragraph" w:styleId="Textocomentario">
    <w:name w:val="annotation text"/>
    <w:basedOn w:val="Normal"/>
    <w:link w:val="TextocomentarioCar"/>
    <w:uiPriority w:val="99"/>
    <w:unhideWhenUsed/>
    <w:rsid w:val="006847E3"/>
    <w:rPr>
      <w:color w:val="auto"/>
      <w:szCs w:val="20"/>
    </w:rPr>
  </w:style>
  <w:style w:type="character" w:customStyle="1" w:styleId="TextocomentarioCar">
    <w:name w:val="Texto comentario Car"/>
    <w:basedOn w:val="Fuentedeprrafopredeter"/>
    <w:link w:val="Textocomentario"/>
    <w:uiPriority w:val="99"/>
    <w:rsid w:val="006847E3"/>
    <w:rPr>
      <w:rFonts w:cs="B Lotus"/>
      <w:color w:val="auto"/>
      <w:sz w:val="20"/>
      <w:szCs w:val="20"/>
    </w:rPr>
  </w:style>
  <w:style w:type="paragraph" w:styleId="Asuntodelcomentario">
    <w:name w:val="annotation subject"/>
    <w:basedOn w:val="Textocomentario"/>
    <w:next w:val="Textocomentario"/>
    <w:link w:val="AsuntodelcomentarioCar"/>
    <w:uiPriority w:val="99"/>
    <w:unhideWhenUsed/>
    <w:rsid w:val="006847E3"/>
    <w:rPr>
      <w:b/>
      <w:bCs/>
    </w:rPr>
  </w:style>
  <w:style w:type="character" w:customStyle="1" w:styleId="AsuntodelcomentarioCar">
    <w:name w:val="Asunto del comentario Car"/>
    <w:basedOn w:val="TextocomentarioCar"/>
    <w:link w:val="Asuntodelcomentario"/>
    <w:uiPriority w:val="99"/>
    <w:rsid w:val="006847E3"/>
    <w:rPr>
      <w:rFonts w:cs="B Lotus"/>
      <w:b/>
      <w:bCs/>
      <w:color w:val="auto"/>
      <w:sz w:val="20"/>
      <w:szCs w:val="20"/>
    </w:rPr>
  </w:style>
  <w:style w:type="paragraph" w:customStyle="1" w:styleId="a0">
    <w:name w:val="بالت"/>
    <w:basedOn w:val="Normal"/>
    <w:link w:val="Char8"/>
    <w:rsid w:val="00564E71"/>
    <w:pPr>
      <w:numPr>
        <w:numId w:val="4"/>
      </w:numPr>
      <w:ind w:left="852" w:hanging="195"/>
    </w:pPr>
    <w:rPr>
      <w:b/>
      <w:szCs w:val="22"/>
      <w:lang w:bidi="fa-IR"/>
    </w:rPr>
  </w:style>
  <w:style w:type="paragraph" w:customStyle="1" w:styleId="af">
    <w:name w:val="محتوای جدول"/>
    <w:basedOn w:val="Normal"/>
    <w:link w:val="Char9"/>
    <w:rsid w:val="00F2181B"/>
    <w:pPr>
      <w:framePr w:hSpace="187" w:wrap="around" w:vAnchor="text" w:hAnchor="page" w:x="2514" w:y="339"/>
      <w:spacing w:before="0" w:beforeAutospacing="0" w:after="0" w:afterAutospacing="0"/>
      <w:ind w:left="0" w:right="0"/>
      <w:suppressOverlap/>
    </w:pPr>
    <w:rPr>
      <w:rFonts w:ascii="Cambria Math" w:hAnsi="Cambria Math"/>
      <w:sz w:val="17"/>
      <w:szCs w:val="20"/>
      <w:lang w:bidi="fa-IR"/>
    </w:rPr>
  </w:style>
  <w:style w:type="character" w:customStyle="1" w:styleId="Char8">
    <w:name w:val="بالت Char"/>
    <w:basedOn w:val="Fuentedeprrafopredeter"/>
    <w:link w:val="a0"/>
    <w:rsid w:val="00564E71"/>
    <w:rPr>
      <w:rFonts w:ascii="Adobe Gurmukhi" w:hAnsi="Adobe Gurmukhi" w:cs="XB Kayhan"/>
      <w:b/>
      <w:szCs w:val="22"/>
      <w:lang w:bidi="fa-IR"/>
    </w:rPr>
  </w:style>
  <w:style w:type="character" w:customStyle="1" w:styleId="Char9">
    <w:name w:val="محتوای جدول Char"/>
    <w:basedOn w:val="Fuentedeprrafopredeter"/>
    <w:link w:val="af"/>
    <w:rsid w:val="00F2181B"/>
    <w:rPr>
      <w:rFonts w:ascii="Cambria Math" w:hAnsi="Cambria Math" w:cs="XB Kayhan"/>
      <w:sz w:val="17"/>
      <w:szCs w:val="20"/>
      <w:lang w:bidi="fa-IR"/>
    </w:rPr>
  </w:style>
  <w:style w:type="numbering" w:customStyle="1" w:styleId="NoList1">
    <w:name w:val="No List1"/>
    <w:next w:val="Sinlista"/>
    <w:uiPriority w:val="99"/>
    <w:semiHidden/>
    <w:unhideWhenUsed/>
    <w:rsid w:val="004F5B01"/>
  </w:style>
  <w:style w:type="character" w:customStyle="1" w:styleId="hps">
    <w:name w:val="hps"/>
    <w:basedOn w:val="Fuentedeprrafopredeter"/>
    <w:rsid w:val="004F5B01"/>
  </w:style>
  <w:style w:type="character" w:customStyle="1" w:styleId="mw-headline">
    <w:name w:val="mw-headline"/>
    <w:basedOn w:val="Fuentedeprrafopredeter"/>
    <w:rsid w:val="004F5B01"/>
  </w:style>
  <w:style w:type="table" w:styleId="Tablaclsica1">
    <w:name w:val="Table Classic 1"/>
    <w:basedOn w:val="Tabla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Fuentedeprrafopredeter"/>
    <w:rsid w:val="004F5B01"/>
  </w:style>
  <w:style w:type="character" w:customStyle="1" w:styleId="SinespaciadoCar">
    <w:name w:val="Sin espaciado Car"/>
    <w:basedOn w:val="Fuentedeprrafopredeter"/>
    <w:link w:val="Sinespaciado"/>
    <w:uiPriority w:val="1"/>
    <w:rsid w:val="004F5B01"/>
  </w:style>
  <w:style w:type="table" w:styleId="Sombreadoclaro">
    <w:name w:val="Light Shading"/>
    <w:basedOn w:val="Tabla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Fuentedeprrafopredeter"/>
    <w:rsid w:val="004F5B01"/>
  </w:style>
  <w:style w:type="table" w:customStyle="1" w:styleId="PlainTable31">
    <w:name w:val="Plain Table 31"/>
    <w:basedOn w:val="Tabla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Fuentedeprrafopredeter"/>
    <w:link w:val="MTDisplayEquation"/>
    <w:rsid w:val="004F5B01"/>
    <w:rPr>
      <w:rFonts w:eastAsiaTheme="minorEastAsia" w:cs="B Lotus"/>
      <w:sz w:val="20"/>
      <w:lang w:bidi="fa-IR"/>
    </w:rPr>
  </w:style>
  <w:style w:type="table" w:styleId="Cuadrculamedia1-nfasis4">
    <w:name w:val="Medium Grid 1 Accent 4"/>
    <w:basedOn w:val="Tabla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customStyle="1" w:styleId="PlainTable41">
    <w:name w:val="Plain Table 41"/>
    <w:basedOn w:val="Tabla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Fuentedeprrafopredeter"/>
    <w:rsid w:val="004F5B01"/>
  </w:style>
  <w:style w:type="table" w:customStyle="1" w:styleId="PlainTable11">
    <w:name w:val="Plain Table 11"/>
    <w:basedOn w:val="Tabla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onotaalfinal">
    <w:name w:val="endnote text"/>
    <w:basedOn w:val="Normal"/>
    <w:link w:val="TextonotaalfinalCar"/>
    <w:unhideWhenUsed/>
    <w:rsid w:val="00A75307"/>
    <w:pPr>
      <w:spacing w:before="0" w:after="0"/>
    </w:pPr>
    <w:rPr>
      <w:szCs w:val="20"/>
    </w:rPr>
  </w:style>
  <w:style w:type="character" w:customStyle="1" w:styleId="TextonotaalfinalCar">
    <w:name w:val="Texto nota al final Car"/>
    <w:basedOn w:val="Fuentedeprrafopredeter"/>
    <w:link w:val="Textonotaalfinal"/>
    <w:rsid w:val="00A75307"/>
    <w:rPr>
      <w:rFonts w:cs="IRLotus"/>
      <w:sz w:val="20"/>
      <w:szCs w:val="20"/>
    </w:rPr>
  </w:style>
  <w:style w:type="table" w:customStyle="1" w:styleId="TableGrid12">
    <w:name w:val="Table Grid12"/>
    <w:basedOn w:val="Tabla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Prrafodelista"/>
    <w:link w:val="ReferenceChar"/>
    <w:qFormat/>
    <w:rsid w:val="00B17DE5"/>
    <w:pPr>
      <w:numPr>
        <w:numId w:val="5"/>
      </w:numPr>
      <w:bidi w:val="0"/>
      <w:spacing w:before="0" w:beforeAutospacing="0" w:after="0" w:afterAutospacing="0"/>
      <w:ind w:left="1276" w:right="569" w:hanging="425"/>
      <w:jc w:val="left"/>
    </w:pPr>
    <w:rPr>
      <w:rFonts w:ascii="Palatino Linotype" w:hAnsi="Palatino Linotype" w:cstheme="majorBidi"/>
      <w:color w:val="auto"/>
      <w:sz w:val="18"/>
      <w:szCs w:val="20"/>
    </w:rPr>
  </w:style>
  <w:style w:type="character" w:customStyle="1" w:styleId="ReferenceChar">
    <w:name w:val="Reference Char"/>
    <w:basedOn w:val="Fuentedeprrafopredeter"/>
    <w:link w:val="Reference"/>
    <w:rsid w:val="00B17DE5"/>
    <w:rPr>
      <w:rFonts w:ascii="Palatino Linotype" w:hAnsi="Palatino Linotype" w:cstheme="majorBidi"/>
      <w:color w:val="auto"/>
      <w:sz w:val="18"/>
      <w:szCs w:val="20"/>
    </w:rPr>
  </w:style>
  <w:style w:type="character" w:customStyle="1" w:styleId="tgc">
    <w:name w:val="_tgc"/>
    <w:basedOn w:val="Fuentedeprrafopredeter"/>
    <w:rsid w:val="008B303E"/>
  </w:style>
  <w:style w:type="paragraph" w:styleId="Subttulo">
    <w:name w:val="Subtitle"/>
    <w:basedOn w:val="Normal"/>
    <w:next w:val="Normal"/>
    <w:link w:val="SubttuloC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Cs w:val="22"/>
      <w:lang w:bidi="fa-IR"/>
    </w:rPr>
  </w:style>
  <w:style w:type="character" w:customStyle="1" w:styleId="SubttuloCar">
    <w:name w:val="Subtítulo Car"/>
    <w:basedOn w:val="Fuentedeprrafopredeter"/>
    <w:link w:val="Subttulo"/>
    <w:rsid w:val="008B303E"/>
    <w:rPr>
      <w:rFonts w:asciiTheme="minorHAnsi" w:eastAsiaTheme="minorEastAsia" w:hAnsiTheme="minorHAnsi" w:cstheme="minorBidi"/>
      <w:color w:val="5A5A5A" w:themeColor="text1" w:themeTint="A5"/>
      <w:spacing w:val="15"/>
      <w:szCs w:val="22"/>
      <w:lang w:bidi="fa-IR"/>
    </w:rPr>
  </w:style>
  <w:style w:type="character" w:styleId="Nmerodepgina">
    <w:name w:val="page number"/>
    <w:basedOn w:val="Fuentedeprrafopredeter"/>
    <w:rsid w:val="008B303E"/>
  </w:style>
  <w:style w:type="character" w:customStyle="1" w:styleId="EndnoteTextChar1">
    <w:name w:val="Endnote Text Char1"/>
    <w:basedOn w:val="Fuentedeprrafopredeter"/>
    <w:uiPriority w:val="99"/>
    <w:semiHidden/>
    <w:rsid w:val="008B303E"/>
    <w:rPr>
      <w:sz w:val="20"/>
      <w:szCs w:val="20"/>
    </w:rPr>
  </w:style>
  <w:style w:type="paragraph" w:styleId="Textoindependiente2">
    <w:name w:val="Body Text 2"/>
    <w:basedOn w:val="Normal"/>
    <w:link w:val="Textoindependiente2Car"/>
    <w:rsid w:val="008B303E"/>
    <w:pPr>
      <w:spacing w:before="0" w:beforeAutospacing="0" w:after="0" w:afterAutospacing="0"/>
      <w:ind w:left="0" w:right="0"/>
      <w:jc w:val="left"/>
    </w:pPr>
    <w:rPr>
      <w:rFonts w:eastAsia="Times New Roman" w:cs="Nazanin"/>
      <w:color w:val="auto"/>
      <w:sz w:val="26"/>
      <w:szCs w:val="26"/>
    </w:rPr>
  </w:style>
  <w:style w:type="character" w:customStyle="1" w:styleId="Textoindependiente2Car">
    <w:name w:val="Texto independiente 2 Car"/>
    <w:basedOn w:val="Fuentedeprrafopredeter"/>
    <w:link w:val="Textoindependiente2"/>
    <w:rsid w:val="008B303E"/>
    <w:rPr>
      <w:rFonts w:eastAsia="Times New Roman" w:cs="Nazanin"/>
      <w:color w:val="auto"/>
      <w:sz w:val="26"/>
      <w:szCs w:val="26"/>
    </w:rPr>
  </w:style>
  <w:style w:type="character" w:styleId="AcrnimoHTML">
    <w:name w:val="HTML Acronym"/>
    <w:basedOn w:val="Fuentedeprrafopredeter"/>
    <w:rsid w:val="008B303E"/>
  </w:style>
  <w:style w:type="paragraph" w:styleId="TDC1">
    <w:name w:val="toc 1"/>
    <w:basedOn w:val="Normal"/>
    <w:next w:val="Normal"/>
    <w:autoRedefine/>
    <w:uiPriority w:val="39"/>
    <w:rsid w:val="008B303E"/>
    <w:pPr>
      <w:tabs>
        <w:tab w:val="right" w:leader="dot" w:pos="8303"/>
      </w:tabs>
      <w:spacing w:before="0" w:beforeAutospacing="0" w:after="0" w:afterAutospacing="0"/>
      <w:ind w:left="0" w:right="0"/>
    </w:pPr>
    <w:rPr>
      <w:rFonts w:eastAsia="Times New Roman" w:cs="Nazanin"/>
      <w:color w:val="auto"/>
      <w:sz w:val="26"/>
      <w:szCs w:val="28"/>
    </w:rPr>
  </w:style>
  <w:style w:type="paragraph" w:styleId="TDC2">
    <w:name w:val="toc 2"/>
    <w:basedOn w:val="Normal"/>
    <w:next w:val="Normal"/>
    <w:autoRedefine/>
    <w:uiPriority w:val="39"/>
    <w:rsid w:val="008B303E"/>
    <w:pPr>
      <w:tabs>
        <w:tab w:val="right" w:leader="dot" w:pos="9120"/>
        <w:tab w:val="right" w:pos="9210"/>
      </w:tabs>
      <w:spacing w:before="0" w:beforeAutospacing="0" w:after="0" w:afterAutospacing="0"/>
      <w:ind w:left="-237" w:right="-90"/>
    </w:pPr>
    <w:rPr>
      <w:rFonts w:eastAsia="Times New Roman" w:cs="Lotus"/>
      <w:noProof/>
      <w:color w:val="auto"/>
      <w:sz w:val="28"/>
      <w:szCs w:val="28"/>
      <w:lang w:bidi="fa-IR"/>
    </w:rPr>
  </w:style>
  <w:style w:type="paragraph" w:styleId="TDC3">
    <w:name w:val="toc 3"/>
    <w:basedOn w:val="Normal"/>
    <w:next w:val="Normal"/>
    <w:autoRedefine/>
    <w:uiPriority w:val="39"/>
    <w:rsid w:val="008B303E"/>
    <w:pPr>
      <w:tabs>
        <w:tab w:val="right" w:leader="dot" w:pos="9120"/>
      </w:tabs>
      <w:spacing w:before="0" w:beforeAutospacing="0" w:after="0" w:afterAutospacing="0"/>
      <w:ind w:left="-420" w:right="-630"/>
    </w:pPr>
    <w:rPr>
      <w:rFonts w:eastAsia="Times New Roman" w:cs="Nazanin"/>
      <w:color w:val="auto"/>
      <w:sz w:val="26"/>
      <w:szCs w:val="28"/>
    </w:rPr>
  </w:style>
  <w:style w:type="paragraph" w:styleId="TDC4">
    <w:name w:val="toc 4"/>
    <w:basedOn w:val="Normal"/>
    <w:next w:val="Normal"/>
    <w:autoRedefine/>
    <w:uiPriority w:val="39"/>
    <w:rsid w:val="008B303E"/>
    <w:pPr>
      <w:spacing w:before="0" w:beforeAutospacing="0" w:after="0" w:afterAutospacing="0"/>
      <w:ind w:left="780" w:right="0"/>
      <w:jc w:val="left"/>
    </w:pPr>
    <w:rPr>
      <w:rFonts w:eastAsia="Times New Roman" w:cs="Nazanin"/>
      <w:color w:val="auto"/>
      <w:sz w:val="26"/>
      <w:szCs w:val="28"/>
    </w:rPr>
  </w:style>
  <w:style w:type="paragraph" w:styleId="TDC5">
    <w:name w:val="toc 5"/>
    <w:basedOn w:val="Normal"/>
    <w:next w:val="Normal"/>
    <w:autoRedefine/>
    <w:uiPriority w:val="39"/>
    <w:rsid w:val="008B303E"/>
    <w:pPr>
      <w:spacing w:before="0" w:beforeAutospacing="0" w:after="0" w:afterAutospacing="0"/>
      <w:ind w:left="1040" w:right="0"/>
      <w:jc w:val="left"/>
    </w:pPr>
    <w:rPr>
      <w:rFonts w:eastAsia="Times New Roman" w:cs="Nazanin"/>
      <w:color w:val="auto"/>
      <w:sz w:val="26"/>
      <w:szCs w:val="28"/>
    </w:rPr>
  </w:style>
  <w:style w:type="character" w:customStyle="1" w:styleId="MapadeldocumentoCar">
    <w:name w:val="Mapa del documento Car"/>
    <w:basedOn w:val="Fuentedeprrafopredeter"/>
    <w:link w:val="Mapadeldocumento"/>
    <w:uiPriority w:val="99"/>
    <w:rsid w:val="008B303E"/>
    <w:rPr>
      <w:rFonts w:ascii="Tahoma" w:eastAsia="Times New Roman" w:hAnsi="Tahoma" w:cs="Tahoma"/>
      <w:sz w:val="20"/>
      <w:szCs w:val="20"/>
      <w:shd w:val="clear" w:color="auto" w:fill="000080"/>
    </w:rPr>
  </w:style>
  <w:style w:type="paragraph" w:styleId="Mapadeldocumento">
    <w:name w:val="Document Map"/>
    <w:basedOn w:val="Normal"/>
    <w:link w:val="MapadeldocumentoCar"/>
    <w:uiPriority w:val="99"/>
    <w:rsid w:val="008B303E"/>
    <w:pPr>
      <w:shd w:val="clear" w:color="auto" w:fill="000080"/>
      <w:spacing w:before="0" w:beforeAutospacing="0" w:after="0" w:afterAutospacing="0"/>
      <w:ind w:left="0" w:right="0"/>
      <w:jc w:val="left"/>
    </w:pPr>
    <w:rPr>
      <w:rFonts w:ascii="Tahoma" w:eastAsia="Times New Roman" w:hAnsi="Tahoma" w:cs="Tahoma"/>
      <w:szCs w:val="20"/>
    </w:rPr>
  </w:style>
  <w:style w:type="character" w:customStyle="1" w:styleId="DocumentMapChar1">
    <w:name w:val="Document Map Char1"/>
    <w:basedOn w:val="Fuentedeprrafopredeter"/>
    <w:uiPriority w:val="99"/>
    <w:rsid w:val="008B303E"/>
    <w:rPr>
      <w:rFonts w:ascii="Segoe UI" w:hAnsi="Segoe UI" w:cs="Segoe UI"/>
      <w:sz w:val="16"/>
      <w:szCs w:val="16"/>
    </w:rPr>
  </w:style>
  <w:style w:type="character" w:customStyle="1" w:styleId="babcptermstyle1">
    <w:name w:val="bab_cptermstyle1"/>
    <w:basedOn w:val="Fuentedeprrafopredeter"/>
    <w:rsid w:val="008B303E"/>
    <w:rPr>
      <w:b/>
      <w:bCs/>
    </w:rPr>
  </w:style>
  <w:style w:type="character" w:customStyle="1" w:styleId="longtext1">
    <w:name w:val="long_text1"/>
    <w:basedOn w:val="Fuentedeprrafopredeter"/>
    <w:rsid w:val="008B303E"/>
    <w:rPr>
      <w:sz w:val="16"/>
      <w:szCs w:val="16"/>
    </w:rPr>
  </w:style>
  <w:style w:type="paragraph" w:customStyle="1" w:styleId="Style1">
    <w:name w:val="Style1"/>
    <w:basedOn w:val="Prrafodelista"/>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PrrafodelistaCar"/>
    <w:link w:val="Style1"/>
    <w:rsid w:val="008B303E"/>
    <w:rPr>
      <w:rFonts w:ascii="Calibri" w:eastAsia="Calibri" w:hAnsi="Calibri" w:cs="Zar"/>
      <w:color w:val="auto"/>
      <w:sz w:val="27"/>
      <w:szCs w:val="27"/>
    </w:rPr>
  </w:style>
  <w:style w:type="character" w:customStyle="1" w:styleId="TitleChar1">
    <w:name w:val="Title Char1"/>
    <w:basedOn w:val="Fuentedeprrafopredeter"/>
    <w:uiPriority w:val="10"/>
    <w:rsid w:val="008B303E"/>
    <w:rPr>
      <w:rFonts w:asciiTheme="majorHAnsi" w:eastAsiaTheme="majorEastAsia" w:hAnsiTheme="majorHAnsi" w:cstheme="majorBidi"/>
      <w:spacing w:val="-10"/>
      <w:kern w:val="28"/>
      <w:sz w:val="56"/>
      <w:szCs w:val="56"/>
    </w:rPr>
  </w:style>
  <w:style w:type="character" w:customStyle="1" w:styleId="SangradetextonormalCar">
    <w:name w:val="Sangría de texto normal Car"/>
    <w:basedOn w:val="Fuentedeprrafopredeter"/>
    <w:link w:val="Sangradetextonormal"/>
    <w:rsid w:val="008B303E"/>
    <w:rPr>
      <w:rFonts w:cs="Lotus"/>
      <w:szCs w:val="28"/>
    </w:rPr>
  </w:style>
  <w:style w:type="paragraph" w:styleId="Sangradetextonormal">
    <w:name w:val="Body Text Indent"/>
    <w:basedOn w:val="Normal"/>
    <w:link w:val="SangradetextonormalCar"/>
    <w:unhideWhenUsed/>
    <w:rsid w:val="008B303E"/>
    <w:pPr>
      <w:spacing w:before="0" w:beforeAutospacing="0" w:after="0" w:afterAutospacing="0" w:line="360" w:lineRule="auto"/>
      <w:ind w:left="0" w:right="0" w:firstLine="454"/>
      <w:jc w:val="lowKashida"/>
    </w:pPr>
    <w:rPr>
      <w:rFonts w:cs="Lotus"/>
      <w:szCs w:val="28"/>
    </w:rPr>
  </w:style>
  <w:style w:type="character" w:customStyle="1" w:styleId="BodyTextIndentChar1">
    <w:name w:val="Body Text Indent Char1"/>
    <w:basedOn w:val="Fuentedeprrafopredeter"/>
    <w:uiPriority w:val="99"/>
    <w:rsid w:val="008B303E"/>
    <w:rPr>
      <w:rFonts w:cs="IRLotus"/>
      <w:sz w:val="20"/>
    </w:rPr>
  </w:style>
  <w:style w:type="paragraph" w:styleId="TtuloTDC">
    <w:name w:val="TOC Heading"/>
    <w:basedOn w:val="Ttulo1"/>
    <w:next w:val="Normal"/>
    <w:uiPriority w:val="39"/>
    <w:unhideWhenUsed/>
    <w:rsid w:val="008B303E"/>
    <w:pPr>
      <w:bidi w:val="0"/>
      <w:spacing w:before="480" w:beforeAutospacing="0" w:afterAutospacing="0"/>
      <w:ind w:left="0" w:right="0"/>
      <w:jc w:val="left"/>
      <w:outlineLvl w:val="9"/>
    </w:pPr>
    <w:rPr>
      <w:rFonts w:asciiTheme="majorHAnsi" w:eastAsiaTheme="majorEastAsia" w:hAnsiTheme="majorHAnsi" w:cstheme="majorBidi"/>
      <w:b/>
      <w:bCs/>
      <w:color w:val="2E74B5" w:themeColor="accent1" w:themeShade="BF"/>
      <w:sz w:val="28"/>
      <w:szCs w:val="28"/>
    </w:rPr>
  </w:style>
  <w:style w:type="paragraph" w:styleId="TDC6">
    <w:name w:val="toc 6"/>
    <w:basedOn w:val="Normal"/>
    <w:next w:val="Normal"/>
    <w:autoRedefine/>
    <w:uiPriority w:val="39"/>
    <w:unhideWhenUsed/>
    <w:rsid w:val="008B303E"/>
    <w:pPr>
      <w:bidi w:val="0"/>
      <w:spacing w:before="0" w:beforeAutospacing="0" w:afterAutospacing="0"/>
      <w:ind w:left="1100" w:right="0"/>
      <w:jc w:val="left"/>
    </w:pPr>
    <w:rPr>
      <w:rFonts w:asciiTheme="minorHAnsi" w:eastAsiaTheme="minorEastAsia" w:hAnsiTheme="minorHAnsi" w:cstheme="minorBidi"/>
      <w:color w:val="auto"/>
      <w:szCs w:val="22"/>
    </w:rPr>
  </w:style>
  <w:style w:type="paragraph" w:styleId="TDC7">
    <w:name w:val="toc 7"/>
    <w:basedOn w:val="Normal"/>
    <w:next w:val="Normal"/>
    <w:autoRedefine/>
    <w:uiPriority w:val="39"/>
    <w:unhideWhenUsed/>
    <w:rsid w:val="008B303E"/>
    <w:pPr>
      <w:bidi w:val="0"/>
      <w:spacing w:before="0" w:beforeAutospacing="0" w:afterAutospacing="0"/>
      <w:ind w:left="1320" w:right="0"/>
      <w:jc w:val="left"/>
    </w:pPr>
    <w:rPr>
      <w:rFonts w:asciiTheme="minorHAnsi" w:eastAsiaTheme="minorEastAsia" w:hAnsiTheme="minorHAnsi" w:cstheme="minorBidi"/>
      <w:color w:val="auto"/>
      <w:szCs w:val="22"/>
    </w:rPr>
  </w:style>
  <w:style w:type="paragraph" w:styleId="TDC8">
    <w:name w:val="toc 8"/>
    <w:basedOn w:val="Normal"/>
    <w:next w:val="Normal"/>
    <w:autoRedefine/>
    <w:uiPriority w:val="39"/>
    <w:unhideWhenUsed/>
    <w:rsid w:val="008B303E"/>
    <w:pPr>
      <w:bidi w:val="0"/>
      <w:spacing w:before="0" w:beforeAutospacing="0" w:afterAutospacing="0"/>
      <w:ind w:left="1540" w:right="0"/>
      <w:jc w:val="left"/>
    </w:pPr>
    <w:rPr>
      <w:rFonts w:asciiTheme="minorHAnsi" w:eastAsiaTheme="minorEastAsia" w:hAnsiTheme="minorHAnsi" w:cstheme="minorBidi"/>
      <w:color w:val="auto"/>
      <w:szCs w:val="22"/>
    </w:rPr>
  </w:style>
  <w:style w:type="paragraph" w:styleId="TDC9">
    <w:name w:val="toc 9"/>
    <w:basedOn w:val="Normal"/>
    <w:next w:val="Normal"/>
    <w:autoRedefine/>
    <w:uiPriority w:val="39"/>
    <w:unhideWhenUsed/>
    <w:rsid w:val="008B303E"/>
    <w:pPr>
      <w:bidi w:val="0"/>
      <w:spacing w:before="0" w:beforeAutospacing="0" w:afterAutospacing="0"/>
      <w:ind w:left="1760" w:right="0"/>
      <w:jc w:val="left"/>
    </w:pPr>
    <w:rPr>
      <w:rFonts w:asciiTheme="minorHAnsi" w:eastAsiaTheme="minorEastAsia" w:hAnsiTheme="minorHAnsi" w:cstheme="minorBidi"/>
      <w:color w:val="auto"/>
      <w:szCs w:val="22"/>
    </w:rPr>
  </w:style>
  <w:style w:type="character" w:customStyle="1" w:styleId="citation">
    <w:name w:val="citation"/>
    <w:basedOn w:val="Fuentedeprrafopredeter"/>
    <w:rsid w:val="008B303E"/>
  </w:style>
  <w:style w:type="character" w:customStyle="1" w:styleId="printonly">
    <w:name w:val="printonly"/>
    <w:basedOn w:val="Fuentedeprrafopredeter"/>
    <w:rsid w:val="008B303E"/>
  </w:style>
  <w:style w:type="character" w:customStyle="1" w:styleId="reference-accessdate">
    <w:name w:val="reference-accessdate"/>
    <w:basedOn w:val="Fuentedeprrafopredeter"/>
    <w:rsid w:val="008B303E"/>
  </w:style>
  <w:style w:type="character" w:customStyle="1" w:styleId="z3988">
    <w:name w:val="z3988"/>
    <w:basedOn w:val="Fuentedeprrafopredeter"/>
    <w:rsid w:val="008B303E"/>
  </w:style>
  <w:style w:type="character" w:styleId="nfasis">
    <w:name w:val="Emphasis"/>
    <w:basedOn w:val="Fuentedeprrafopredeter"/>
    <w:rsid w:val="008B303E"/>
    <w:rPr>
      <w:i/>
      <w:iCs/>
    </w:rPr>
  </w:style>
  <w:style w:type="character" w:customStyle="1" w:styleId="yshortcuts">
    <w:name w:val="yshortcuts"/>
    <w:basedOn w:val="Fuentedeprrafopredeter"/>
    <w:rsid w:val="008B303E"/>
  </w:style>
  <w:style w:type="paragraph" w:customStyle="1" w:styleId="textmain">
    <w:name w:val="textmain"/>
    <w:basedOn w:val="Normal"/>
    <w:rsid w:val="008B303E"/>
    <w:pPr>
      <w:bidi w:val="0"/>
      <w:ind w:left="0" w:right="0"/>
      <w:jc w:val="left"/>
    </w:pPr>
    <w:rPr>
      <w:rFonts w:eastAsia="Times New Roman" w:cs="Times New Roman"/>
      <w:color w:val="auto"/>
      <w:sz w:val="24"/>
      <w:lang w:bidi="fa-IR"/>
    </w:rPr>
  </w:style>
  <w:style w:type="character" w:styleId="Fuerte">
    <w:name w:val="Strong"/>
    <w:basedOn w:val="Fuentedeprrafopredeter"/>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Textonotapie"/>
    <w:rsid w:val="008B303E"/>
    <w:pPr>
      <w:spacing w:beforeAutospacing="0" w:afterAutospacing="0" w:line="260" w:lineRule="exact"/>
      <w:ind w:left="0" w:right="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jc w:val="center"/>
    </w:pPr>
    <w:rPr>
      <w:rFonts w:eastAsiaTheme="minorEastAsia" w:cs="B Lotus"/>
      <w:color w:val="auto"/>
      <w:spacing w:val="-4"/>
      <w:sz w:val="21"/>
      <w:szCs w:val="25"/>
      <w:lang w:bidi="fa-IR"/>
    </w:rPr>
  </w:style>
  <w:style w:type="paragraph" w:customStyle="1" w:styleId="T1">
    <w:name w:val="T1"/>
    <w:basedOn w:val="Ttulo1"/>
    <w:rsid w:val="008B303E"/>
    <w:pPr>
      <w:keepNext w:val="0"/>
      <w:keepLines w:val="0"/>
      <w:widowControl w:val="0"/>
      <w:spacing w:before="0" w:beforeAutospacing="0" w:after="120" w:afterAutospacing="0" w:line="440" w:lineRule="exact"/>
      <w:ind w:left="0" w:right="0"/>
      <w:jc w:val="lowKashida"/>
    </w:pPr>
    <w:rPr>
      <w:rFonts w:eastAsiaTheme="majorEastAsia" w:cs="B Lotus"/>
      <w:b/>
      <w:bCs/>
      <w:color w:val="auto"/>
      <w:spacing w:val="-4"/>
      <w:kern w:val="32"/>
      <w:sz w:val="27"/>
      <w:szCs w:val="31"/>
      <w:lang w:bidi="fa-IR"/>
    </w:rPr>
  </w:style>
  <w:style w:type="paragraph" w:customStyle="1" w:styleId="T2">
    <w:name w:val="T2"/>
    <w:basedOn w:val="Ttulo1"/>
    <w:rsid w:val="008B303E"/>
    <w:pPr>
      <w:keepNext w:val="0"/>
      <w:keepLines w:val="0"/>
      <w:widowControl w:val="0"/>
      <w:spacing w:before="180" w:beforeAutospacing="0" w:after="60" w:afterAutospacing="0" w:line="440" w:lineRule="exact"/>
      <w:ind w:left="0" w:right="0"/>
      <w:jc w:val="lowKashida"/>
    </w:pPr>
    <w:rPr>
      <w:rFonts w:eastAsiaTheme="majorEastAsia" w:cs="B Lotus"/>
      <w:b/>
      <w:bCs/>
      <w:color w:val="auto"/>
      <w:spacing w:val="-4"/>
      <w:kern w:val="32"/>
      <w:sz w:val="23"/>
      <w:szCs w:val="27"/>
      <w:lang w:bidi="fa-IR"/>
    </w:rPr>
  </w:style>
  <w:style w:type="paragraph" w:customStyle="1" w:styleId="T3">
    <w:name w:val="T3"/>
    <w:basedOn w:val="Ttulo1"/>
    <w:rsid w:val="008B303E"/>
    <w:pPr>
      <w:keepNext w:val="0"/>
      <w:keepLines w:val="0"/>
      <w:widowControl w:val="0"/>
      <w:spacing w:before="0" w:beforeAutospacing="0" w:afterAutospacing="0" w:line="440" w:lineRule="exact"/>
      <w:ind w:left="0" w:right="0"/>
      <w:jc w:val="lowKashida"/>
    </w:pPr>
    <w:rPr>
      <w:rFonts w:eastAsiaTheme="majorEastAsia" w:cs="B Lotus"/>
      <w:b/>
      <w:bCs/>
      <w:color w:val="auto"/>
      <w:spacing w:val="-4"/>
      <w:kern w:val="32"/>
      <w:sz w:val="23"/>
      <w:szCs w:val="27"/>
      <w:lang w:bidi="fa-IR"/>
    </w:rPr>
  </w:style>
  <w:style w:type="table" w:customStyle="1" w:styleId="af0">
    <w:name w:val="جدول خاكستري"/>
    <w:basedOn w:val="Tabla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Hipervnculovisitado">
    <w:name w:val="FollowedHyperlink"/>
    <w:uiPriority w:val="99"/>
    <w:rsid w:val="008B303E"/>
    <w:rPr>
      <w:color w:val="800080"/>
      <w:u w:val="single"/>
    </w:rPr>
  </w:style>
  <w:style w:type="paragraph" w:styleId="Tabladeilustraciones">
    <w:name w:val="table of figures"/>
    <w:basedOn w:val="Normal"/>
    <w:next w:val="Normal"/>
    <w:uiPriority w:val="99"/>
    <w:rsid w:val="008B303E"/>
    <w:pPr>
      <w:spacing w:before="0" w:beforeAutospacing="0" w:after="0" w:afterAutospacing="0"/>
      <w:ind w:left="0" w:right="0"/>
      <w:jc w:val="left"/>
    </w:pPr>
    <w:rPr>
      <w:rFonts w:eastAsiaTheme="minorEastAsia" w:cs="Times New Roman"/>
      <w:color w:val="auto"/>
      <w:sz w:val="24"/>
      <w:lang w:bidi="en-US"/>
    </w:rPr>
  </w:style>
  <w:style w:type="table" w:customStyle="1" w:styleId="LightGrid-Accent11">
    <w:name w:val="Light Grid - Accent 11"/>
    <w:basedOn w:val="Tabla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Cita">
    <w:name w:val="Quote"/>
    <w:basedOn w:val="Normal"/>
    <w:next w:val="Normal"/>
    <w:link w:val="CitaCar"/>
    <w:uiPriority w:val="29"/>
    <w:rsid w:val="008B303E"/>
    <w:pPr>
      <w:bidi w:val="0"/>
      <w:spacing w:before="0" w:beforeAutospacing="0" w:after="0" w:afterAutospacing="0"/>
      <w:ind w:left="0" w:right="0"/>
      <w:jc w:val="left"/>
    </w:pPr>
    <w:rPr>
      <w:rFonts w:asciiTheme="minorHAnsi" w:eastAsiaTheme="minorEastAsia" w:hAnsiTheme="minorHAnsi" w:cs="Times New Roman"/>
      <w:i/>
      <w:color w:val="auto"/>
      <w:sz w:val="24"/>
      <w:lang w:bidi="en-US"/>
    </w:rPr>
  </w:style>
  <w:style w:type="character" w:customStyle="1" w:styleId="CitaCar">
    <w:name w:val="Cita Car"/>
    <w:basedOn w:val="Fuentedeprrafopredeter"/>
    <w:link w:val="Cita"/>
    <w:uiPriority w:val="29"/>
    <w:rsid w:val="008B303E"/>
    <w:rPr>
      <w:rFonts w:asciiTheme="minorHAnsi" w:eastAsiaTheme="minorEastAsia" w:hAnsiTheme="minorHAnsi" w:cs="Times New Roman"/>
      <w:i/>
      <w:color w:val="auto"/>
      <w:sz w:val="24"/>
      <w:lang w:bidi="en-US"/>
    </w:rPr>
  </w:style>
  <w:style w:type="paragraph" w:styleId="Citadestacada">
    <w:name w:val="Intense Quote"/>
    <w:basedOn w:val="Normal"/>
    <w:next w:val="Normal"/>
    <w:link w:val="CitadestacadaCar"/>
    <w:uiPriority w:val="30"/>
    <w:rsid w:val="008B303E"/>
    <w:pPr>
      <w:bidi w:val="0"/>
      <w:spacing w:before="0" w:beforeAutospacing="0" w:after="0" w:afterAutospacing="0"/>
      <w:ind w:left="720" w:right="720"/>
      <w:jc w:val="left"/>
    </w:pPr>
    <w:rPr>
      <w:rFonts w:asciiTheme="minorHAnsi" w:eastAsiaTheme="minorEastAsia" w:hAnsiTheme="minorHAnsi" w:cs="Times New Roman"/>
      <w:b/>
      <w:i/>
      <w:color w:val="auto"/>
      <w:sz w:val="24"/>
      <w:szCs w:val="22"/>
      <w:lang w:bidi="en-US"/>
    </w:rPr>
  </w:style>
  <w:style w:type="character" w:customStyle="1" w:styleId="CitadestacadaCar">
    <w:name w:val="Cita destacada Car"/>
    <w:basedOn w:val="Fuentedeprrafopredeter"/>
    <w:link w:val="Citadestacada"/>
    <w:uiPriority w:val="30"/>
    <w:rsid w:val="008B303E"/>
    <w:rPr>
      <w:rFonts w:asciiTheme="minorHAnsi" w:eastAsiaTheme="minorEastAsia" w:hAnsiTheme="minorHAnsi" w:cs="Times New Roman"/>
      <w:b/>
      <w:i/>
      <w:color w:val="auto"/>
      <w:sz w:val="24"/>
      <w:szCs w:val="22"/>
      <w:lang w:bidi="en-US"/>
    </w:rPr>
  </w:style>
  <w:style w:type="character" w:styleId="nfasissutil">
    <w:name w:val="Subtle Emphasis"/>
    <w:uiPriority w:val="19"/>
    <w:rsid w:val="008B303E"/>
    <w:rPr>
      <w:i/>
      <w:color w:val="5A5A5A" w:themeColor="text1" w:themeTint="A5"/>
    </w:rPr>
  </w:style>
  <w:style w:type="character" w:styleId="nfasisintenso">
    <w:name w:val="Intense Emphasis"/>
    <w:basedOn w:val="Fuentedeprrafopredeter"/>
    <w:uiPriority w:val="21"/>
    <w:rsid w:val="008B303E"/>
    <w:rPr>
      <w:b/>
      <w:i/>
      <w:sz w:val="24"/>
      <w:szCs w:val="24"/>
      <w:u w:val="single"/>
    </w:rPr>
  </w:style>
  <w:style w:type="character" w:styleId="Referenciasutil">
    <w:name w:val="Subtle Reference"/>
    <w:basedOn w:val="Fuentedeprrafopredeter"/>
    <w:uiPriority w:val="31"/>
    <w:rsid w:val="008B303E"/>
    <w:rPr>
      <w:sz w:val="24"/>
      <w:szCs w:val="24"/>
      <w:u w:val="single"/>
    </w:rPr>
  </w:style>
  <w:style w:type="character" w:styleId="Referenciaintensa">
    <w:name w:val="Intense Reference"/>
    <w:basedOn w:val="Fuentedeprrafopredeter"/>
    <w:uiPriority w:val="32"/>
    <w:rsid w:val="008B303E"/>
    <w:rPr>
      <w:b/>
      <w:sz w:val="24"/>
      <w:u w:val="single"/>
    </w:rPr>
  </w:style>
  <w:style w:type="character" w:styleId="Ttulodellibro">
    <w:name w:val="Book Title"/>
    <w:basedOn w:val="Fuentedeprrafopredeter"/>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6"/>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Fuentedeprrafopredeter"/>
    <w:link w:val="af1"/>
    <w:rsid w:val="008B303E"/>
    <w:rPr>
      <w:rFonts w:eastAsia="Times New Roman"/>
      <w:b/>
      <w:bCs/>
      <w:color w:val="auto"/>
      <w:sz w:val="24"/>
      <w:szCs w:val="28"/>
      <w:lang w:bidi="fa-IR"/>
    </w:rPr>
  </w:style>
  <w:style w:type="paragraph" w:customStyle="1" w:styleId="Header1">
    <w:name w:val="Header1"/>
    <w:basedOn w:val="Normal"/>
    <w:link w:val="headerChar"/>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
    <w:name w:val="header Char"/>
    <w:basedOn w:val="Fuentedeprrafopredeter"/>
    <w:link w:val="Header1"/>
    <w:rsid w:val="008B303E"/>
    <w:rPr>
      <w:rFonts w:eastAsia="Times New Roman"/>
      <w:color w:val="auto"/>
      <w:sz w:val="28"/>
      <w:lang w:bidi="fa-IR"/>
    </w:rPr>
  </w:style>
  <w:style w:type="character" w:customStyle="1" w:styleId="textChar0">
    <w:name w:val="text Char"/>
    <w:basedOn w:val="Fuentedeprrafopredeter"/>
    <w:rsid w:val="008B303E"/>
    <w:rPr>
      <w:rFonts w:ascii="Times New Roman" w:eastAsia="Times New Roman" w:hAnsi="Times New Roman" w:cs="B Nazanin"/>
      <w:sz w:val="28"/>
      <w:szCs w:val="28"/>
    </w:rPr>
  </w:style>
  <w:style w:type="paragraph" w:customStyle="1" w:styleId="af2">
    <w:name w:val="فهرست اشکال و جداول"/>
    <w:basedOn w:val="Tabladeilustracion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6"/>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Fuentedeprrafopredeter"/>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7"/>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8"/>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Fuentedeprrafopredeter"/>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8"/>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9"/>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10"/>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11"/>
      </w:numPr>
      <w:tabs>
        <w:tab w:val="clear" w:pos="720"/>
        <w:tab w:val="left" w:pos="357"/>
        <w:tab w:val="num" w:pos="927"/>
      </w:tabs>
      <w:spacing w:after="120"/>
      <w:ind w:left="357" w:hanging="357"/>
    </w:pPr>
    <w:rPr>
      <w:sz w:val="20"/>
      <w:szCs w:val="24"/>
      <w:lang w:bidi="fa-IR"/>
    </w:rPr>
  </w:style>
  <w:style w:type="character" w:styleId="Refdenotaalfinal">
    <w:name w:val="endnote reference"/>
    <w:basedOn w:val="Fuentedeprrafopredeter"/>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Sombreadomedio2-nfasis5">
    <w:name w:val="Medium Shading 2 Accent 5"/>
    <w:basedOn w:val="Tabla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a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6">
    <w:name w:val="Medium List 1 Accent 6"/>
    <w:basedOn w:val="Tabla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a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a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a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a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a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Fuentedeprrafopredeter"/>
    <w:rsid w:val="008B303E"/>
  </w:style>
  <w:style w:type="character" w:customStyle="1" w:styleId="style20">
    <w:name w:val="style_2"/>
    <w:basedOn w:val="Fuentedeprrafopredeter"/>
    <w:rsid w:val="008B303E"/>
  </w:style>
  <w:style w:type="character" w:customStyle="1" w:styleId="style30">
    <w:name w:val="style_3"/>
    <w:basedOn w:val="Fuentedeprrafopredeter"/>
    <w:rsid w:val="008B303E"/>
  </w:style>
  <w:style w:type="table" w:customStyle="1" w:styleId="LightGrid2">
    <w:name w:val="Light Grid2"/>
    <w:basedOn w:val="Tabla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a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a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12"/>
      </w:numPr>
    </w:pPr>
  </w:style>
  <w:style w:type="numbering" w:customStyle="1" w:styleId="Style3">
    <w:name w:val="Style3"/>
    <w:uiPriority w:val="99"/>
    <w:rsid w:val="008B303E"/>
    <w:pPr>
      <w:numPr>
        <w:numId w:val="13"/>
      </w:numPr>
    </w:pPr>
  </w:style>
  <w:style w:type="table" w:customStyle="1" w:styleId="MediumList22">
    <w:name w:val="Medium List 22"/>
    <w:basedOn w:val="Tabla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extoindependiente">
    <w:name w:val="Body Text"/>
    <w:basedOn w:val="Normal"/>
    <w:link w:val="TextoindependienteCar"/>
    <w:rsid w:val="008B303E"/>
    <w:pPr>
      <w:spacing w:before="0" w:beforeAutospacing="0" w:after="0" w:afterAutospacing="0"/>
      <w:ind w:left="0" w:right="0"/>
    </w:pPr>
    <w:rPr>
      <w:rFonts w:eastAsia="Times New Roman" w:cs="Zar"/>
      <w:color w:val="auto"/>
      <w:sz w:val="32"/>
      <w:szCs w:val="32"/>
      <w:lang w:bidi="fa-IR"/>
    </w:rPr>
  </w:style>
  <w:style w:type="character" w:customStyle="1" w:styleId="TextoindependienteCar">
    <w:name w:val="Texto independiente Car"/>
    <w:basedOn w:val="Fuentedeprrafopredeter"/>
    <w:link w:val="Textoindependiente"/>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ind w:left="0" w:right="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ind w:left="0" w:right="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ind w:left="0" w:right="0"/>
      <w:jc w:val="center"/>
    </w:pPr>
    <w:rPr>
      <w:rFonts w:ascii="Calibri" w:eastAsia="Times New Roman" w:hAnsi="Calibri" w:cs="B Nazanin"/>
      <w:color w:val="auto"/>
      <w:sz w:val="24"/>
      <w:szCs w:val="28"/>
    </w:rPr>
  </w:style>
  <w:style w:type="paragraph" w:customStyle="1" w:styleId="HeadingAppendix">
    <w:name w:val="Heading_Appendix"/>
    <w:basedOn w:val="Ttulo1"/>
    <w:next w:val="NewParagraph"/>
    <w:rsid w:val="008B303E"/>
    <w:pPr>
      <w:keepLines w:val="0"/>
      <w:pageBreakBefore/>
      <w:numPr>
        <w:numId w:val="14"/>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Sombreadoclaro-nfasis2">
    <w:name w:val="Light Shading Accent 2"/>
    <w:basedOn w:val="Tabla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Fuentedeprrafopredeter"/>
    <w:link w:val="aff5"/>
    <w:rsid w:val="008B303E"/>
    <w:rPr>
      <w:rFonts w:ascii="B Zar" w:eastAsiaTheme="majorEastAsia" w:hAnsi="B Zar" w:cs="B Zar"/>
      <w:b/>
      <w:bCs/>
      <w:color w:val="auto"/>
      <w:sz w:val="28"/>
      <w:szCs w:val="20"/>
      <w:lang w:bidi="fa-IR"/>
    </w:rPr>
  </w:style>
  <w:style w:type="character" w:customStyle="1" w:styleId="st">
    <w:name w:val="st"/>
    <w:basedOn w:val="Fuentedeprrafopredeter"/>
    <w:rsid w:val="008B303E"/>
  </w:style>
  <w:style w:type="character" w:customStyle="1" w:styleId="normaltext">
    <w:name w:val="normaltext"/>
    <w:basedOn w:val="Fuentedeprrafopredeter"/>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Fuentedeprrafopredeter"/>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Fuentedeprrafopredeter"/>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Fuentedeprrafopredeter"/>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Sinlista"/>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Sinlista"/>
    <w:uiPriority w:val="99"/>
    <w:semiHidden/>
    <w:unhideWhenUsed/>
    <w:rsid w:val="008B303E"/>
  </w:style>
  <w:style w:type="numbering" w:customStyle="1" w:styleId="NoList111">
    <w:name w:val="No List111"/>
    <w:next w:val="Sinlista"/>
    <w:uiPriority w:val="99"/>
    <w:semiHidden/>
    <w:unhideWhenUsed/>
    <w:rsid w:val="008B303E"/>
  </w:style>
  <w:style w:type="table" w:customStyle="1" w:styleId="LightShading11">
    <w:name w:val="Light Shading11"/>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Sinlista"/>
    <w:uiPriority w:val="99"/>
    <w:semiHidden/>
    <w:unhideWhenUsed/>
    <w:rsid w:val="008B303E"/>
  </w:style>
  <w:style w:type="paragraph" w:customStyle="1" w:styleId="textview">
    <w:name w:val="textview"/>
    <w:basedOn w:val="Normal"/>
    <w:rsid w:val="008B303E"/>
    <w:pPr>
      <w:bidi w:val="0"/>
      <w:ind w:left="0" w:right="0"/>
      <w:jc w:val="left"/>
    </w:pPr>
    <w:rPr>
      <w:rFonts w:eastAsia="Times New Roman" w:cs="Times New Roman"/>
      <w:color w:val="auto"/>
      <w:sz w:val="24"/>
    </w:rPr>
  </w:style>
  <w:style w:type="table" w:customStyle="1" w:styleId="TableGrid4">
    <w:name w:val="Table Grid4"/>
    <w:basedOn w:val="Tablanormal"/>
    <w:next w:val="Tablaconcuadrcula"/>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anormal"/>
    <w:next w:val="Tablaconcuadrcula"/>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Fuentedeprrafopredeter"/>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Fuentedeprrafopredeter"/>
    <w:uiPriority w:val="99"/>
    <w:semiHidden/>
    <w:rsid w:val="008B303E"/>
    <w:rPr>
      <w:sz w:val="20"/>
      <w:szCs w:val="20"/>
    </w:rPr>
  </w:style>
  <w:style w:type="paragraph" w:customStyle="1" w:styleId="aff6">
    <w:name w:val="فهرست نمودارها"/>
    <w:basedOn w:val="Normal"/>
    <w:rsid w:val="008B303E"/>
    <w:pPr>
      <w:spacing w:before="0" w:beforeAutospacing="0" w:after="200" w:afterAutospacing="0"/>
      <w:ind w:left="0" w:right="0"/>
      <w:jc w:val="center"/>
    </w:pPr>
    <w:rPr>
      <w:rFonts w:eastAsia="Times New Roman" w:cs="B Mitra"/>
      <w:b/>
      <w:bCs/>
      <w:color w:val="auto"/>
      <w:szCs w:val="20"/>
    </w:rPr>
  </w:style>
  <w:style w:type="paragraph" w:customStyle="1" w:styleId="aff7">
    <w:name w:val="فهرست جداول"/>
    <w:basedOn w:val="aff6"/>
    <w:rsid w:val="008B303E"/>
  </w:style>
  <w:style w:type="table" w:customStyle="1" w:styleId="MediumGrid31">
    <w:name w:val="Medium Grid 31"/>
    <w:basedOn w:val="Tabla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a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Sinlista"/>
    <w:uiPriority w:val="99"/>
    <w:semiHidden/>
    <w:unhideWhenUsed/>
    <w:rsid w:val="008B303E"/>
  </w:style>
  <w:style w:type="numbering" w:customStyle="1" w:styleId="NoList21">
    <w:name w:val="No List21"/>
    <w:next w:val="Sinlista"/>
    <w:uiPriority w:val="99"/>
    <w:semiHidden/>
    <w:unhideWhenUsed/>
    <w:rsid w:val="008B303E"/>
  </w:style>
  <w:style w:type="numbering" w:customStyle="1" w:styleId="NoList1111">
    <w:name w:val="No List1111"/>
    <w:next w:val="Sinlista"/>
    <w:uiPriority w:val="99"/>
    <w:semiHidden/>
    <w:unhideWhenUsed/>
    <w:rsid w:val="008B303E"/>
  </w:style>
  <w:style w:type="table" w:customStyle="1" w:styleId="TableGrid111">
    <w:name w:val="Table Grid111"/>
    <w:basedOn w:val="Tablanormal"/>
    <w:next w:val="Tablaconcuadrcula"/>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anormal"/>
    <w:next w:val="Tablaconcuadrcula"/>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Sinlista"/>
    <w:uiPriority w:val="99"/>
    <w:semiHidden/>
    <w:unhideWhenUsed/>
    <w:rsid w:val="008B303E"/>
  </w:style>
  <w:style w:type="table" w:customStyle="1" w:styleId="TableGrid41">
    <w:name w:val="Table Grid41"/>
    <w:basedOn w:val="Tablanormal"/>
    <w:next w:val="Tablaconcuadrcula"/>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Sinlista"/>
    <w:uiPriority w:val="99"/>
    <w:semiHidden/>
    <w:unhideWhenUsed/>
    <w:rsid w:val="008B303E"/>
  </w:style>
  <w:style w:type="table" w:customStyle="1" w:styleId="10">
    <w:name w:val="جدول خاكستري1"/>
    <w:basedOn w:val="Tabla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a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urlak" w:eastAsia="Times New Roman" w:hAnsi="Burlak"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urlak" w:eastAsia="Times New Roman" w:hAnsi="Burlak"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urlak" w:eastAsia="Times New Roman" w:hAnsi="Burlak" w:cs="Times New Roman"/>
        <w:b/>
        <w:bCs/>
      </w:rPr>
    </w:tblStylePr>
    <w:tblStylePr w:type="lastCol">
      <w:rPr>
        <w:rFonts w:ascii="Burlak" w:eastAsia="Times New Roman" w:hAnsi="Burlak"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anormal"/>
    <w:next w:val="Sombreadomedio2-nfasis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a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anormal"/>
    <w:next w:val="Listamedia1-nfasis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a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a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a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a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a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a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a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a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a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anormal"/>
    <w:next w:val="Sombreadoclaro-nfasis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Sinlista"/>
    <w:uiPriority w:val="99"/>
    <w:semiHidden/>
    <w:unhideWhenUsed/>
    <w:rsid w:val="008B303E"/>
  </w:style>
  <w:style w:type="numbering" w:customStyle="1" w:styleId="NoList112">
    <w:name w:val="No List112"/>
    <w:next w:val="Sinlista"/>
    <w:uiPriority w:val="99"/>
    <w:semiHidden/>
    <w:unhideWhenUsed/>
    <w:rsid w:val="008B303E"/>
  </w:style>
  <w:style w:type="numbering" w:customStyle="1" w:styleId="NoList22">
    <w:name w:val="No List22"/>
    <w:next w:val="Sinlista"/>
    <w:uiPriority w:val="99"/>
    <w:semiHidden/>
    <w:unhideWhenUsed/>
    <w:rsid w:val="008B303E"/>
  </w:style>
  <w:style w:type="numbering" w:customStyle="1" w:styleId="NoList1112">
    <w:name w:val="No List1112"/>
    <w:next w:val="Sinlista"/>
    <w:uiPriority w:val="99"/>
    <w:semiHidden/>
    <w:unhideWhenUsed/>
    <w:rsid w:val="008B303E"/>
  </w:style>
  <w:style w:type="table" w:customStyle="1" w:styleId="TableGrid112">
    <w:name w:val="Table Grid112"/>
    <w:basedOn w:val="Tablanormal"/>
    <w:next w:val="Tablaconcuadrcula"/>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next w:val="Tablaconcuadrcula"/>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anormal"/>
    <w:next w:val="Tablaconcuadrcula"/>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a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Sinlista"/>
    <w:uiPriority w:val="99"/>
    <w:semiHidden/>
    <w:unhideWhenUsed/>
    <w:rsid w:val="008B303E"/>
  </w:style>
  <w:style w:type="table" w:customStyle="1" w:styleId="TableGrid42">
    <w:name w:val="Table Grid42"/>
    <w:basedOn w:val="Tablanormal"/>
    <w:next w:val="Tablaconcuadrcula"/>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anormal"/>
    <w:next w:val="Tablaconcuadrcula"/>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is2">
    <w:name w:val="Light List Accent 2"/>
    <w:basedOn w:val="Tabla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aconcolumnas1">
    <w:name w:val="Table Columns 1"/>
    <w:basedOn w:val="Tabla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itaHTML">
    <w:name w:val="HTML Cite"/>
    <w:basedOn w:val="Fuentedeprrafopredeter"/>
    <w:uiPriority w:val="99"/>
    <w:unhideWhenUsed/>
    <w:rsid w:val="008B303E"/>
    <w:rPr>
      <w:rFonts w:cs="Times New Roman"/>
      <w:i/>
      <w:iCs/>
    </w:rPr>
  </w:style>
  <w:style w:type="character" w:customStyle="1" w:styleId="abstract0">
    <w:name w:val="abstract"/>
    <w:basedOn w:val="Fuentedeprrafopredeter"/>
    <w:rsid w:val="008B303E"/>
  </w:style>
  <w:style w:type="paragraph" w:customStyle="1" w:styleId="yazdani">
    <w:name w:val="yazdani"/>
    <w:basedOn w:val="Normal"/>
    <w:autoRedefine/>
    <w:rsid w:val="008B303E"/>
    <w:pPr>
      <w:tabs>
        <w:tab w:val="right" w:pos="-2"/>
        <w:tab w:val="left" w:pos="4298"/>
      </w:tabs>
      <w:spacing w:before="0" w:beforeAutospacing="0" w:after="0" w:afterAutospacing="0"/>
      <w:ind w:left="-2" w:right="0"/>
    </w:pPr>
    <w:rPr>
      <w:rFonts w:asciiTheme="majorBidi" w:eastAsia="Times New Roman" w:hAnsiTheme="majorBidi" w:cs="B Zar"/>
      <w:bCs/>
      <w:i/>
      <w:color w:val="auto"/>
      <w:sz w:val="26"/>
      <w:szCs w:val="26"/>
    </w:rPr>
  </w:style>
  <w:style w:type="paragraph" w:customStyle="1" w:styleId="Style5">
    <w:name w:val="Style5"/>
    <w:basedOn w:val="TD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pPr>
    <w:rPr>
      <w:rFonts w:eastAsia="Times New Roman" w:cs="B Lotus"/>
      <w:color w:val="auto"/>
      <w:sz w:val="24"/>
      <w:szCs w:val="28"/>
    </w:rPr>
  </w:style>
  <w:style w:type="paragraph" w:customStyle="1" w:styleId="BalloonText1">
    <w:name w:val="Balloon Text1"/>
    <w:basedOn w:val="Normal"/>
    <w:next w:val="Textodeglobo"/>
    <w:uiPriority w:val="99"/>
    <w:semiHidden/>
    <w:unhideWhenUsed/>
    <w:rsid w:val="008B303E"/>
    <w:pPr>
      <w:bidi w:val="0"/>
      <w:spacing w:before="0" w:beforeAutospacing="0" w:after="0" w:afterAutospacing="0" w:line="360" w:lineRule="auto"/>
      <w:ind w:left="0" w:right="0"/>
      <w:jc w:val="right"/>
    </w:pPr>
    <w:rPr>
      <w:rFonts w:ascii="Tahoma" w:eastAsia="Calibri" w:hAnsi="Tahoma" w:cs="Tahoma"/>
      <w:color w:val="auto"/>
      <w:sz w:val="16"/>
      <w:szCs w:val="16"/>
    </w:rPr>
  </w:style>
  <w:style w:type="paragraph" w:styleId="Lista">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Textoindependienteprimerasangra">
    <w:name w:val="Body Text First Indent"/>
    <w:basedOn w:val="Textoindependiente"/>
    <w:link w:val="TextoindependienteprimerasangraCar"/>
    <w:rsid w:val="008B303E"/>
    <w:pPr>
      <w:bidi w:val="0"/>
      <w:spacing w:after="120" w:line="360" w:lineRule="auto"/>
      <w:ind w:firstLine="210"/>
    </w:pPr>
    <w:rPr>
      <w:rFonts w:cs="B Lotus"/>
      <w:sz w:val="24"/>
      <w:szCs w:val="28"/>
    </w:rPr>
  </w:style>
  <w:style w:type="character" w:customStyle="1" w:styleId="TextoindependienteprimerasangraCar">
    <w:name w:val="Texto independiente primera sangría Car"/>
    <w:basedOn w:val="TextoindependienteCar"/>
    <w:link w:val="Textoindependienteprimerasangra"/>
    <w:rsid w:val="008B303E"/>
    <w:rPr>
      <w:rFonts w:eastAsia="Times New Roman" w:cs="B Lotus"/>
      <w:color w:val="auto"/>
      <w:sz w:val="24"/>
      <w:szCs w:val="28"/>
      <w:lang w:bidi="fa-IR"/>
    </w:rPr>
  </w:style>
  <w:style w:type="paragraph" w:styleId="Textoindependienteprimerasangra2">
    <w:name w:val="Body Text First Indent 2"/>
    <w:basedOn w:val="Sangradetextonormal"/>
    <w:link w:val="Textoindependienteprimerasangra2Car"/>
    <w:rsid w:val="008B303E"/>
    <w:pPr>
      <w:bidi w:val="0"/>
      <w:spacing w:after="120"/>
      <w:ind w:left="283" w:firstLine="210"/>
      <w:jc w:val="both"/>
    </w:pPr>
    <w:rPr>
      <w:rFonts w:eastAsia="Times New Roman" w:cs="B Lotus"/>
      <w:sz w:val="24"/>
      <w:lang w:bidi="fa-IR"/>
    </w:rPr>
  </w:style>
  <w:style w:type="character" w:customStyle="1" w:styleId="Textoindependienteprimerasangra2Car">
    <w:name w:val="Texto independiente primera sangría 2 Car"/>
    <w:basedOn w:val="BodyTextIndentChar1"/>
    <w:link w:val="Textoindependienteprimerasangra2"/>
    <w:rsid w:val="008B303E"/>
    <w:rPr>
      <w:rFonts w:eastAsia="Times New Roman" w:cs="B Lotus"/>
      <w:sz w:val="24"/>
      <w:szCs w:val="28"/>
      <w:lang w:bidi="fa-IR"/>
    </w:rPr>
  </w:style>
  <w:style w:type="character" w:styleId="Nmerodelnea">
    <w:name w:val="line number"/>
    <w:basedOn w:val="Fuentedeprrafopredeter"/>
    <w:rsid w:val="008B303E"/>
  </w:style>
  <w:style w:type="character" w:customStyle="1" w:styleId="FollowedHyperlink1">
    <w:name w:val="FollowedHyperlink1"/>
    <w:basedOn w:val="Fuentedeprrafopredeter"/>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Sinlista"/>
    <w:uiPriority w:val="99"/>
    <w:rsid w:val="008B303E"/>
    <w:pPr>
      <w:numPr>
        <w:numId w:val="15"/>
      </w:numPr>
    </w:pPr>
  </w:style>
  <w:style w:type="character" w:customStyle="1" w:styleId="DescripcinCar">
    <w:name w:val="Descripción Car"/>
    <w:basedOn w:val="Fuentedeprrafopredeter"/>
    <w:link w:val="Descripcin"/>
    <w:uiPriority w:val="35"/>
    <w:rsid w:val="008B303E"/>
    <w:rPr>
      <w:rFonts w:cs="IRLotus"/>
      <w:b/>
      <w:bCs/>
      <w:color w:val="5B9BD5" w:themeColor="accent1"/>
      <w:sz w:val="18"/>
      <w:szCs w:val="18"/>
    </w:rPr>
  </w:style>
  <w:style w:type="table" w:styleId="Tablaelegante">
    <w:name w:val="Table Elegant"/>
    <w:basedOn w:val="Tabla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Prrafodelista"/>
    <w:rsid w:val="008B303E"/>
    <w:pPr>
      <w:widowControl w:val="0"/>
      <w:numPr>
        <w:numId w:val="16"/>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Textonotapie"/>
    <w:rsid w:val="008B303E"/>
    <w:pPr>
      <w:bidi w:val="0"/>
      <w:spacing w:beforeAutospacing="0" w:afterAutospacing="0"/>
      <w:ind w:left="0" w:right="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ind w:left="0" w:right="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ind w:left="0" w:right="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ind w:left="0" w:right="0"/>
      <w:jc w:val="center"/>
    </w:pPr>
    <w:rPr>
      <w:rFonts w:eastAsia="Times New Roman" w:cs="B Zar"/>
      <w:b/>
      <w:bCs/>
      <w:color w:val="auto"/>
      <w:sz w:val="28"/>
      <w:szCs w:val="28"/>
      <w:lang w:bidi="fa-IR"/>
    </w:rPr>
  </w:style>
  <w:style w:type="numbering" w:customStyle="1" w:styleId="ListNumber11">
    <w:name w:val="List Number11"/>
    <w:basedOn w:val="Sinlista"/>
    <w:uiPriority w:val="99"/>
    <w:rsid w:val="008B303E"/>
    <w:pPr>
      <w:numPr>
        <w:numId w:val="17"/>
      </w:numPr>
    </w:pPr>
  </w:style>
  <w:style w:type="table" w:customStyle="1" w:styleId="MediumShading2-Accent31">
    <w:name w:val="Medium Shading 2 - Accent 31"/>
    <w:basedOn w:val="Tablanormal"/>
    <w:next w:val="Sombreadomedio2-nfasis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D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ind w:left="0" w:right="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Fuentedeprrafopredeter"/>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Fuentedeprrafopredeter"/>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Fuentedeprrafopredeter"/>
    <w:rsid w:val="008B303E"/>
    <w:rPr>
      <w:rFonts w:ascii="Tahoma" w:hAnsi="Tahoma" w:cs="Tahoma"/>
      <w:sz w:val="16"/>
      <w:szCs w:val="16"/>
      <w:lang w:bidi="ar-SA"/>
    </w:rPr>
  </w:style>
  <w:style w:type="table" w:styleId="Sombreadomedio2-nfasis3">
    <w:name w:val="Medium Shading 2 Accent 3"/>
    <w:basedOn w:val="Tabla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anormal"/>
    <w:next w:val="Tablaconcuadrcula"/>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anormal"/>
    <w:next w:val="Tablaconcuadrcula"/>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anormal"/>
    <w:next w:val="Tablaconcuadrcula"/>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next w:val="Tablaconcuadrcula"/>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next w:val="Tablaconcuadrcula"/>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next w:val="Tablaconcuadrcula"/>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anormal"/>
    <w:next w:val="Tablaconcuadrcula"/>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Fuentedeprrafopredeter"/>
    <w:rsid w:val="008B303E"/>
  </w:style>
  <w:style w:type="paragraph" w:styleId="Fecha">
    <w:name w:val="Date"/>
    <w:basedOn w:val="Normal"/>
    <w:next w:val="Normal"/>
    <w:link w:val="FechaCar"/>
    <w:rsid w:val="008B303E"/>
    <w:pPr>
      <w:bidi w:val="0"/>
      <w:spacing w:before="0" w:beforeAutospacing="0" w:after="0" w:afterAutospacing="0"/>
      <w:ind w:left="0" w:right="0"/>
      <w:jc w:val="left"/>
    </w:pPr>
    <w:rPr>
      <w:rFonts w:eastAsia="Times New Roman" w:cs="Times New Roman"/>
      <w:color w:val="auto"/>
      <w:sz w:val="24"/>
    </w:rPr>
  </w:style>
  <w:style w:type="character" w:customStyle="1" w:styleId="FechaCar">
    <w:name w:val="Fecha Car"/>
    <w:basedOn w:val="Fuentedeprrafopredeter"/>
    <w:link w:val="Fecha"/>
    <w:rsid w:val="008B303E"/>
    <w:rPr>
      <w:rFonts w:eastAsia="Times New Roman" w:cs="Times New Roman"/>
      <w:color w:val="auto"/>
      <w:sz w:val="24"/>
    </w:rPr>
  </w:style>
  <w:style w:type="paragraph" w:styleId="Textoindependiente3">
    <w:name w:val="Body Text 3"/>
    <w:basedOn w:val="Normal"/>
    <w:link w:val="Textoindependiente3Car"/>
    <w:rsid w:val="008B303E"/>
    <w:pPr>
      <w:bidi w:val="0"/>
      <w:spacing w:before="0" w:beforeAutospacing="0" w:after="0" w:afterAutospacing="0"/>
      <w:ind w:left="0" w:right="0"/>
    </w:pPr>
    <w:rPr>
      <w:rFonts w:eastAsia="Times New Roman" w:cs="Times New Roman"/>
      <w:color w:val="auto"/>
      <w:sz w:val="24"/>
    </w:rPr>
  </w:style>
  <w:style w:type="character" w:customStyle="1" w:styleId="Textoindependiente3Car">
    <w:name w:val="Texto independiente 3 Car"/>
    <w:basedOn w:val="Fuentedeprrafopredeter"/>
    <w:link w:val="Textoindependiente3"/>
    <w:rsid w:val="008B303E"/>
    <w:rPr>
      <w:rFonts w:eastAsia="Times New Roman" w:cs="Times New Roman"/>
      <w:color w:val="auto"/>
      <w:sz w:val="24"/>
    </w:rPr>
  </w:style>
  <w:style w:type="paragraph" w:styleId="Sangra2detindependiente">
    <w:name w:val="Body Text Indent 2"/>
    <w:basedOn w:val="Normal"/>
    <w:link w:val="Sangra2detindependienteC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Sangra2detindependienteCar">
    <w:name w:val="Sangría 2 de t. independiente Car"/>
    <w:basedOn w:val="Fuentedeprrafopredeter"/>
    <w:link w:val="Sangra2detindependiente"/>
    <w:rsid w:val="008B303E"/>
    <w:rPr>
      <w:rFonts w:ascii="Arial" w:eastAsia="Times New Roman" w:hAnsi="Arial" w:cs="Arial"/>
      <w:color w:val="auto"/>
      <w:sz w:val="16"/>
      <w:szCs w:val="16"/>
    </w:rPr>
  </w:style>
  <w:style w:type="paragraph" w:styleId="Textodebloque">
    <w:name w:val="Block Text"/>
    <w:basedOn w:val="Normal"/>
    <w:rsid w:val="008B303E"/>
    <w:pPr>
      <w:bidi w:val="0"/>
      <w:spacing w:before="0" w:beforeAutospacing="0" w:after="0" w:afterAutospacing="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ind w:left="-93" w:right="0"/>
    </w:pPr>
    <w:rPr>
      <w:rFonts w:ascii="B Lotus" w:eastAsia="Times New Roman" w:hAnsi="B Lotus" w:cs="B Lotus"/>
      <w:b/>
      <w:bCs/>
      <w:color w:val="auto"/>
      <w:sz w:val="32"/>
      <w:szCs w:val="28"/>
      <w:lang w:bidi="fa-IR"/>
    </w:rPr>
  </w:style>
  <w:style w:type="table" w:customStyle="1" w:styleId="GridTable1Light1">
    <w:name w:val="Grid Table 1 Light1"/>
    <w:basedOn w:val="Tabla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Fuentedeprrafopredeter"/>
    <w:uiPriority w:val="99"/>
    <w:semiHidden/>
    <w:unhideWhenUsed/>
    <w:rsid w:val="007D2FB6"/>
    <w:rPr>
      <w:color w:val="605E5C"/>
      <w:shd w:val="clear" w:color="auto" w:fill="E1DFDD"/>
    </w:rPr>
  </w:style>
  <w:style w:type="paragraph" w:customStyle="1" w:styleId="affa">
    <w:name w:val="عنوان مقاله"/>
    <w:basedOn w:val="a6"/>
    <w:link w:val="Chare"/>
    <w:rsid w:val="00976166"/>
    <w:pPr>
      <w:framePr w:hSpace="187" w:wrap="around" w:vAnchor="page" w:hAnchor="margin" w:xAlign="center" w:y="1186"/>
      <w:tabs>
        <w:tab w:val="right" w:pos="8509"/>
      </w:tabs>
      <w:spacing w:before="240" w:after="240" w:afterAutospacing="0"/>
      <w:ind w:left="129" w:right="34" w:hanging="40"/>
      <w:suppressOverlap/>
    </w:pPr>
    <w:rPr>
      <w:rFonts w:ascii="Times New Roman Bold" w:hAnsi="Times New Roman Bold" w:cs="IRNazanin"/>
      <w:bCs/>
      <w:spacing w:val="-20"/>
      <w:sz w:val="28"/>
    </w:rPr>
  </w:style>
  <w:style w:type="character" w:customStyle="1" w:styleId="Chare">
    <w:name w:val="عنوان مقاله Char"/>
    <w:basedOn w:val="Char"/>
    <w:link w:val="affa"/>
    <w:rsid w:val="00976166"/>
    <w:rPr>
      <w:rFonts w:ascii="Times New Roman Bold" w:eastAsia="Times New Roman" w:hAnsi="Times New Roman Bold" w:cs="IRNazanin"/>
      <w:b/>
      <w:bCs/>
      <w:color w:val="auto"/>
      <w:spacing w:val="-20"/>
      <w:kern w:val="28"/>
      <w:sz w:val="28"/>
      <w:szCs w:val="32"/>
    </w:rPr>
  </w:style>
  <w:style w:type="paragraph" w:customStyle="1" w:styleId="Articletitle">
    <w:name w:val="Article title"/>
    <w:basedOn w:val="Style1"/>
    <w:link w:val="ArticletitleChar"/>
    <w:qFormat/>
    <w:rsid w:val="00D53EE0"/>
    <w:pPr>
      <w:framePr w:hSpace="187" w:wrap="around" w:vAnchor="page" w:hAnchor="margin" w:xAlign="center" w:y="692"/>
      <w:spacing w:before="240" w:after="240"/>
      <w:ind w:left="34" w:hanging="34"/>
      <w:suppressOverlap/>
    </w:pPr>
    <w:rPr>
      <w:rFonts w:ascii="Adobe Devanagari" w:hAnsi="Adobe Devanagari" w:cs="Adobe Devanagari"/>
      <w:b/>
      <w:bCs/>
      <w:sz w:val="32"/>
      <w:szCs w:val="32"/>
      <w:lang w:bidi="fa-IR"/>
    </w:rPr>
  </w:style>
  <w:style w:type="paragraph" w:customStyle="1" w:styleId="Author">
    <w:name w:val="Author"/>
    <w:basedOn w:val="Text0"/>
    <w:link w:val="AuthorChar"/>
    <w:qFormat/>
    <w:rsid w:val="00A97430"/>
    <w:pPr>
      <w:framePr w:hSpace="187" w:wrap="around" w:vAnchor="page" w:hAnchor="margin" w:xAlign="center" w:y="692"/>
      <w:bidi w:val="0"/>
      <w:spacing w:after="240" w:line="360" w:lineRule="auto"/>
      <w:ind w:firstLine="34"/>
      <w:suppressOverlap/>
      <w:jc w:val="left"/>
    </w:pPr>
    <w:rPr>
      <w:rFonts w:ascii="Garamond" w:eastAsia="Calibri" w:hAnsi="Garamond" w:cs="Adobe Devanagari"/>
      <w:b/>
      <w:bCs/>
      <w:noProof w:val="0"/>
      <w:sz w:val="20"/>
      <w:szCs w:val="24"/>
    </w:rPr>
  </w:style>
  <w:style w:type="character" w:customStyle="1" w:styleId="ArticletitleChar">
    <w:name w:val="Article title Char"/>
    <w:basedOn w:val="Style1Char"/>
    <w:link w:val="Articletitle"/>
    <w:rsid w:val="00D53EE0"/>
    <w:rPr>
      <w:rFonts w:ascii="Adobe Devanagari" w:eastAsia="Calibri" w:hAnsi="Adobe Devanagari" w:cs="Adobe Devanagari"/>
      <w:b/>
      <w:bCs/>
      <w:color w:val="auto"/>
      <w:sz w:val="32"/>
      <w:szCs w:val="32"/>
      <w:lang w:bidi="fa-IR"/>
    </w:rPr>
  </w:style>
  <w:style w:type="paragraph" w:customStyle="1" w:styleId="Affiliation">
    <w:name w:val="Affiliation"/>
    <w:basedOn w:val="Text0"/>
    <w:link w:val="AffiliationChar"/>
    <w:qFormat/>
    <w:rsid w:val="006927DD"/>
    <w:pPr>
      <w:framePr w:hSpace="187" w:wrap="around" w:vAnchor="text" w:hAnchor="margin" w:xAlign="center" w:y="225"/>
      <w:bidi w:val="0"/>
      <w:ind w:left="39" w:firstLine="0"/>
      <w:suppressOverlap/>
      <w:jc w:val="left"/>
    </w:pPr>
    <w:rPr>
      <w:rFonts w:ascii="Garamond" w:eastAsiaTheme="minorHAnsi" w:hAnsi="Garamond" w:cs="XB Kayhan"/>
      <w:noProof w:val="0"/>
      <w:color w:val="000000"/>
      <w:sz w:val="18"/>
      <w:szCs w:val="18"/>
      <w:lang w:bidi="ar-SA"/>
    </w:rPr>
  </w:style>
  <w:style w:type="character" w:customStyle="1" w:styleId="TextChar">
    <w:name w:val="Text Char"/>
    <w:basedOn w:val="Fuentedeprrafopredeter"/>
    <w:link w:val="Text0"/>
    <w:rsid w:val="00647188"/>
    <w:rPr>
      <w:rFonts w:eastAsia="Times New Roman"/>
      <w:noProof/>
      <w:color w:val="auto"/>
      <w:szCs w:val="22"/>
      <w:lang w:bidi="fa-IR"/>
    </w:rPr>
  </w:style>
  <w:style w:type="character" w:customStyle="1" w:styleId="AuthorChar">
    <w:name w:val="Author Char"/>
    <w:basedOn w:val="TextChar"/>
    <w:link w:val="Author"/>
    <w:rsid w:val="00A97430"/>
    <w:rPr>
      <w:rFonts w:ascii="Garamond" w:eastAsia="Calibri" w:hAnsi="Garamond" w:cs="Adobe Devanagari"/>
      <w:b/>
      <w:bCs/>
      <w:noProof/>
      <w:color w:val="auto"/>
      <w:sz w:val="20"/>
      <w:szCs w:val="22"/>
      <w:lang w:val="es-CO" w:bidi="fa-IR"/>
    </w:rPr>
  </w:style>
  <w:style w:type="paragraph" w:customStyle="1" w:styleId="Abstractt">
    <w:name w:val="Abstractt"/>
    <w:basedOn w:val="abstractt0"/>
    <w:link w:val="AbstracttChar"/>
    <w:qFormat/>
    <w:rsid w:val="008B40A1"/>
    <w:pPr>
      <w:framePr w:hSpace="181" w:wrap="around" w:vAnchor="page" w:hAnchor="margin" w:xAlign="center" w:y="8431"/>
      <w:spacing w:before="240" w:after="0"/>
      <w:ind w:left="0" w:right="314" w:firstLine="0"/>
      <w:suppressOverlap/>
      <w:jc w:val="both"/>
    </w:pPr>
    <w:rPr>
      <w:rFonts w:ascii="Garamond" w:hAnsi="Garamond"/>
      <w:iCs/>
      <w:color w:val="0D0D0D" w:themeColor="text1" w:themeTint="F2"/>
    </w:rPr>
  </w:style>
  <w:style w:type="character" w:customStyle="1" w:styleId="AffiliationChar">
    <w:name w:val="Affiliation Char"/>
    <w:basedOn w:val="TextChar"/>
    <w:link w:val="Affiliation"/>
    <w:rsid w:val="006927DD"/>
    <w:rPr>
      <w:rFonts w:ascii="Garamond" w:eastAsia="Times New Roman" w:hAnsi="Garamond" w:cs="XB Kayhan"/>
      <w:noProof/>
      <w:color w:val="auto"/>
      <w:sz w:val="18"/>
      <w:szCs w:val="18"/>
      <w:lang w:bidi="fa-IR"/>
    </w:rPr>
  </w:style>
  <w:style w:type="character" w:customStyle="1" w:styleId="AbstracttChar">
    <w:name w:val="Abstractt Char"/>
    <w:basedOn w:val="Char2"/>
    <w:link w:val="Abstractt"/>
    <w:rsid w:val="008B40A1"/>
    <w:rPr>
      <w:rFonts w:ascii="Garamond" w:hAnsi="Garamond" w:cs="Adobe Gurmukhi"/>
      <w:iCs/>
      <w:color w:val="0D0D0D" w:themeColor="text1" w:themeTint="F2"/>
      <w:sz w:val="20"/>
      <w:szCs w:val="20"/>
      <w:lang w:bidi="fa-IR"/>
    </w:rPr>
  </w:style>
  <w:style w:type="character" w:customStyle="1" w:styleId="EndNoteBibliographyChar">
    <w:name w:val="EndNote Bibliography Char"/>
    <w:basedOn w:val="Fuentedeprrafopredeter"/>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jc w:val="right"/>
    </w:pPr>
    <w:rPr>
      <w:rFonts w:ascii="Calibri" w:hAnsi="Calibri" w:cs="Calibri"/>
      <w:noProof/>
    </w:rPr>
  </w:style>
  <w:style w:type="character" w:customStyle="1" w:styleId="tlid-translation">
    <w:name w:val="tlid-translation"/>
    <w:basedOn w:val="Fuentedeprrafopredeter"/>
    <w:rsid w:val="00D3537B"/>
  </w:style>
  <w:style w:type="table" w:customStyle="1" w:styleId="TableGrid16">
    <w:name w:val="Table Grid16"/>
    <w:basedOn w:val="Tablanormal"/>
    <w:next w:val="Tablaconcuadrcula"/>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next w:val="Tablaconcuadrcula"/>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next w:val="Tablaconcuadrcula"/>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a9"/>
    <w:link w:val="abstracttChar0"/>
    <w:rsid w:val="00523402"/>
    <w:pPr>
      <w:bidi w:val="0"/>
      <w:spacing w:line="276" w:lineRule="auto"/>
      <w:ind w:left="1560" w:right="1418" w:firstLine="3"/>
    </w:pPr>
    <w:rPr>
      <w:rFonts w:cs="Adobe Gurmukhi"/>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523402"/>
    <w:rPr>
      <w:rFonts w:ascii="Adobe Gurmukhi" w:hAnsi="Adobe Gurmukhi" w:cs="Adobe Gurmukhi"/>
      <w:sz w:val="20"/>
      <w:szCs w:val="20"/>
      <w:lang w:bidi="fa-IR"/>
    </w:rPr>
  </w:style>
  <w:style w:type="character" w:customStyle="1" w:styleId="TablecaptionChar">
    <w:name w:val="Table caption Char"/>
    <w:basedOn w:val="Char6"/>
    <w:link w:val="Tablecaption"/>
    <w:rsid w:val="00D3537B"/>
    <w:rPr>
      <w:rFonts w:ascii="Adobe Gurmukhi" w:hAnsi="Adobe Gurmukhi" w:cs="IRNazanin"/>
      <w:bCs/>
      <w:sz w:val="18"/>
      <w:szCs w:val="20"/>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tuloCar"/>
    <w:link w:val="affb"/>
    <w:rsid w:val="00751222"/>
    <w:rPr>
      <w:rFonts w:ascii="Arial" w:eastAsia="Times New Roman" w:hAnsi="Arial" w:cs="IRTitr"/>
      <w:b/>
      <w:color w:val="auto"/>
      <w:spacing w:val="-10"/>
      <w:kern w:val="28"/>
      <w:sz w:val="32"/>
      <w:szCs w:val="32"/>
    </w:rPr>
  </w:style>
  <w:style w:type="numbering" w:customStyle="1" w:styleId="NoList5">
    <w:name w:val="No List5"/>
    <w:next w:val="Sinlista"/>
    <w:uiPriority w:val="99"/>
    <w:semiHidden/>
    <w:unhideWhenUsed/>
    <w:rsid w:val="00751222"/>
  </w:style>
  <w:style w:type="paragraph" w:customStyle="1" w:styleId="Figure">
    <w:name w:val="Figure"/>
    <w:basedOn w:val="Ttulo4"/>
    <w:link w:val="FigureChar"/>
    <w:qFormat/>
    <w:rsid w:val="00C17453"/>
    <w:pPr>
      <w:bidi w:val="0"/>
      <w:spacing w:before="0" w:beforeAutospacing="0" w:after="120" w:afterAutospacing="0"/>
      <w:ind w:left="862" w:hanging="862"/>
      <w:jc w:val="center"/>
    </w:pPr>
    <w:rPr>
      <w:rFonts w:ascii="Garamond" w:hAnsi="Garamond"/>
      <w:b/>
      <w:i w:val="0"/>
      <w:iCs w:val="0"/>
      <w:color w:val="000000" w:themeColor="text1"/>
      <w:sz w:val="20"/>
      <w:szCs w:val="16"/>
      <w:lang w:bidi="fa-IR"/>
    </w:rPr>
  </w:style>
  <w:style w:type="character" w:customStyle="1" w:styleId="FigureChar">
    <w:name w:val="Figure Char"/>
    <w:basedOn w:val="Char6"/>
    <w:link w:val="Figure"/>
    <w:rsid w:val="00C17453"/>
    <w:rPr>
      <w:rFonts w:ascii="Garamond" w:eastAsiaTheme="majorEastAsia" w:hAnsi="Garamond" w:cstheme="majorBidi"/>
      <w:b/>
      <w:bCs w:val="0"/>
      <w:color w:val="000000" w:themeColor="text1"/>
      <w:sz w:val="20"/>
      <w:szCs w:val="16"/>
      <w:lang w:bidi="fa-IR"/>
    </w:rPr>
  </w:style>
  <w:style w:type="paragraph" w:customStyle="1" w:styleId="02">
    <w:name w:val="02نویسندگان"/>
    <w:basedOn w:val="Normal"/>
    <w:rsid w:val="00881645"/>
    <w:pPr>
      <w:widowControl w:val="0"/>
      <w:pBdr>
        <w:top w:val="single" w:sz="4" w:space="1" w:color="auto"/>
      </w:pBdr>
      <w:tabs>
        <w:tab w:val="left" w:pos="3402"/>
        <w:tab w:val="left" w:pos="5390"/>
      </w:tabs>
      <w:spacing w:before="0" w:beforeAutospacing="0" w:after="0" w:afterAutospacing="0"/>
      <w:ind w:left="0" w:right="1134"/>
      <w:jc w:val="left"/>
    </w:pPr>
    <w:rPr>
      <w:rFonts w:ascii="Times New Roman Bold" w:eastAsia="B Nazanin" w:hAnsi="Times New Roman Bold"/>
      <w:b/>
      <w:bCs/>
      <w:color w:val="000000" w:themeColor="text1"/>
      <w:szCs w:val="22"/>
      <w:lang w:bidi="fa-IR"/>
    </w:rPr>
  </w:style>
  <w:style w:type="paragraph" w:customStyle="1" w:styleId="03">
    <w:name w:val="03تاریخ‌دریافت‌پذیرش"/>
    <w:basedOn w:val="Normal"/>
    <w:rsid w:val="00881645"/>
    <w:pPr>
      <w:pBdr>
        <w:top w:val="single" w:sz="6" w:space="1" w:color="auto"/>
        <w:bottom w:val="single" w:sz="6" w:space="1" w:color="auto"/>
      </w:pBdr>
      <w:tabs>
        <w:tab w:val="left" w:pos="3402"/>
      </w:tabs>
      <w:spacing w:before="240" w:beforeAutospacing="0" w:after="120" w:afterAutospacing="0"/>
      <w:ind w:left="0" w:right="1134"/>
      <w:jc w:val="lowKashida"/>
    </w:pPr>
    <w:rPr>
      <w:rFonts w:ascii="XB Kayhan" w:eastAsia="B Nazanin" w:hAnsi="XB Kayhan"/>
      <w:color w:val="000000" w:themeColor="text1"/>
      <w:szCs w:val="20"/>
      <w:lang w:bidi="fa-IR"/>
    </w:rPr>
  </w:style>
  <w:style w:type="paragraph" w:customStyle="1" w:styleId="01">
    <w:name w:val="01عنوان‌مقاله"/>
    <w:basedOn w:val="Normal"/>
    <w:next w:val="02"/>
    <w:rsid w:val="00881645"/>
    <w:pPr>
      <w:spacing w:before="240" w:beforeAutospacing="0" w:after="240" w:afterAutospacing="0"/>
      <w:ind w:left="0" w:right="1134"/>
      <w:jc w:val="left"/>
      <w:outlineLvl w:val="0"/>
    </w:pPr>
    <w:rPr>
      <w:rFonts w:ascii="XB Kayhan" w:hAnsi="XB Kayhan"/>
      <w:b/>
      <w:bCs/>
      <w:color w:val="auto"/>
      <w:sz w:val="28"/>
      <w:szCs w:val="28"/>
      <w:lang w:bidi="fa-IR"/>
    </w:rPr>
  </w:style>
  <w:style w:type="character" w:customStyle="1" w:styleId="acopre">
    <w:name w:val="acopre"/>
    <w:basedOn w:val="Fuentedeprrafopredeter"/>
    <w:rsid w:val="00423948"/>
  </w:style>
  <w:style w:type="table" w:customStyle="1" w:styleId="TableGrid19">
    <w:name w:val="Table Grid19"/>
    <w:basedOn w:val="Tablanormal"/>
    <w:next w:val="Tablaconcuadrcula"/>
    <w:uiPriority w:val="39"/>
    <w:rsid w:val="0044772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0">
    <w:name w:val="Table Grid20"/>
    <w:basedOn w:val="Tablanormal"/>
    <w:next w:val="Tablaconcuadrcula"/>
    <w:uiPriority w:val="39"/>
    <w:rsid w:val="005671FA"/>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3">
    <w:name w:val="Table Grid23"/>
    <w:basedOn w:val="Tablanormal"/>
    <w:next w:val="Tablaconcuadrcula"/>
    <w:uiPriority w:val="39"/>
    <w:rsid w:val="00A945D6"/>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4">
    <w:name w:val="Table Grid24"/>
    <w:basedOn w:val="Tablanormal"/>
    <w:next w:val="Tablaconcuadrcula"/>
    <w:uiPriority w:val="39"/>
    <w:rsid w:val="00531035"/>
    <w:pPr>
      <w:bidi w:val="0"/>
      <w:spacing w:before="0" w:after="0" w:afterAutospacing="0"/>
      <w:ind w:left="0" w:right="0" w:firstLine="0"/>
      <w:jc w:val="left"/>
    </w:pPr>
    <w:rPr>
      <w:rFonts w:eastAsia="Times New Roman" w:cs="Times New Roman"/>
      <w:color w:val="auto"/>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jlqj4b">
    <w:name w:val="jlqj4b"/>
    <w:basedOn w:val="Fuentedeprrafopredeter"/>
    <w:rsid w:val="00996794"/>
  </w:style>
  <w:style w:type="character" w:customStyle="1" w:styleId="viiyi">
    <w:name w:val="viiyi"/>
    <w:basedOn w:val="Fuentedeprrafopredeter"/>
    <w:rsid w:val="00545D2A"/>
  </w:style>
  <w:style w:type="paragraph" w:customStyle="1" w:styleId="Bullet">
    <w:name w:val="Bullet"/>
    <w:basedOn w:val="Normal"/>
    <w:link w:val="BulletChar"/>
    <w:qFormat/>
    <w:rsid w:val="00CB4F4D"/>
    <w:pPr>
      <w:numPr>
        <w:numId w:val="18"/>
      </w:numPr>
      <w:bidi w:val="0"/>
      <w:ind w:left="1418" w:hanging="851"/>
    </w:pPr>
    <w:rPr>
      <w:rFonts w:ascii="Palatino Linotype" w:hAnsi="Palatino Linotype" w:cs="Adobe Garamond Pro"/>
      <w:i/>
      <w:iCs/>
      <w:color w:val="262626" w:themeColor="text1" w:themeTint="D9"/>
      <w:sz w:val="19"/>
      <w:szCs w:val="19"/>
    </w:rPr>
  </w:style>
  <w:style w:type="character" w:customStyle="1" w:styleId="BulletChar">
    <w:name w:val="Bullet Char"/>
    <w:basedOn w:val="Fuentedeprrafopredeter"/>
    <w:link w:val="Bullet"/>
    <w:rsid w:val="00CB4F4D"/>
    <w:rPr>
      <w:rFonts w:ascii="Palatino Linotype" w:hAnsi="Palatino Linotype" w:cs="Adobe Garamond Pro"/>
      <w:i/>
      <w:iCs/>
      <w:color w:val="262626" w:themeColor="text1" w:themeTint="D9"/>
      <w:sz w:val="19"/>
      <w:szCs w:val="19"/>
    </w:rPr>
  </w:style>
  <w:style w:type="paragraph" w:customStyle="1" w:styleId="Heading1">
    <w:name w:val="Heading(1)"/>
    <w:basedOn w:val="Ttulo1"/>
    <w:link w:val="Heading1Char"/>
    <w:rsid w:val="00C01735"/>
    <w:pPr>
      <w:bidi w:val="0"/>
    </w:pPr>
  </w:style>
  <w:style w:type="paragraph" w:customStyle="1" w:styleId="HEADING10">
    <w:name w:val="HEADING1"/>
    <w:basedOn w:val="Ttulo1"/>
    <w:link w:val="HEADING1Char0"/>
    <w:qFormat/>
    <w:rsid w:val="00C17453"/>
    <w:pPr>
      <w:bidi w:val="0"/>
      <w:spacing w:before="120" w:beforeAutospacing="0" w:after="160" w:afterAutospacing="0"/>
      <w:ind w:left="658" w:right="0"/>
      <w:jc w:val="left"/>
    </w:pPr>
    <w:rPr>
      <w:rFonts w:ascii="Garamond" w:hAnsi="Garamond"/>
      <w:b/>
      <w:color w:val="auto"/>
      <w:sz w:val="32"/>
      <w:szCs w:val="36"/>
    </w:rPr>
  </w:style>
  <w:style w:type="paragraph" w:customStyle="1" w:styleId="BODY0">
    <w:name w:val="BODY"/>
    <w:basedOn w:val="Normal"/>
    <w:link w:val="BODYChar"/>
    <w:qFormat/>
    <w:rsid w:val="00426704"/>
    <w:pPr>
      <w:bidi w:val="0"/>
      <w:spacing w:before="0" w:beforeAutospacing="0" w:after="120" w:afterAutospacing="0"/>
      <w:ind w:left="658"/>
    </w:pPr>
    <w:rPr>
      <w:rFonts w:ascii="Garamond" w:hAnsi="Garamond"/>
    </w:rPr>
  </w:style>
  <w:style w:type="character" w:customStyle="1" w:styleId="Heading1Char">
    <w:name w:val="Heading(1) Char"/>
    <w:basedOn w:val="Ttulo1Car"/>
    <w:link w:val="Heading1"/>
    <w:rsid w:val="00C01735"/>
    <w:rPr>
      <w:rFonts w:ascii="Adobe Gurmukhi" w:eastAsia="Times New Roman" w:hAnsi="Adobe Gurmukhi" w:cs="Times New Roman"/>
      <w:color w:val="FF0000"/>
      <w:sz w:val="40"/>
      <w:szCs w:val="32"/>
    </w:rPr>
  </w:style>
  <w:style w:type="character" w:customStyle="1" w:styleId="HEADING1Char0">
    <w:name w:val="HEADING1 Char"/>
    <w:basedOn w:val="Heading1Char"/>
    <w:link w:val="HEADING10"/>
    <w:rsid w:val="00C17453"/>
    <w:rPr>
      <w:rFonts w:ascii="Garamond" w:eastAsia="Times New Roman" w:hAnsi="Garamond" w:cs="Times New Roman"/>
      <w:b/>
      <w:color w:val="auto"/>
      <w:sz w:val="32"/>
      <w:szCs w:val="36"/>
    </w:rPr>
  </w:style>
  <w:style w:type="paragraph" w:customStyle="1" w:styleId="HEADING2">
    <w:name w:val="HEADING2"/>
    <w:basedOn w:val="Ttulo2"/>
    <w:link w:val="HEADING2Char"/>
    <w:qFormat/>
    <w:rsid w:val="00C17453"/>
    <w:pPr>
      <w:bidi w:val="0"/>
      <w:spacing w:before="120" w:beforeAutospacing="0" w:after="160" w:afterAutospacing="0"/>
      <w:ind w:left="658" w:right="0"/>
    </w:pPr>
    <w:rPr>
      <w:rFonts w:ascii="Garamond" w:hAnsi="Garamond"/>
      <w:color w:val="auto"/>
      <w:sz w:val="28"/>
      <w:szCs w:val="28"/>
    </w:rPr>
  </w:style>
  <w:style w:type="character" w:customStyle="1" w:styleId="BODYChar">
    <w:name w:val="BODY Char"/>
    <w:basedOn w:val="Fuentedeprrafopredeter"/>
    <w:link w:val="BODY0"/>
    <w:rsid w:val="00426704"/>
    <w:rPr>
      <w:rFonts w:ascii="Garamond" w:hAnsi="Garamond" w:cs="XB Kayhan"/>
      <w:szCs w:val="23"/>
    </w:rPr>
  </w:style>
  <w:style w:type="paragraph" w:customStyle="1" w:styleId="TABLECONTENT">
    <w:name w:val="TABLE CONTENT"/>
    <w:basedOn w:val="Normal"/>
    <w:link w:val="TABLECONTENTChar"/>
    <w:qFormat/>
    <w:rsid w:val="00B97DEE"/>
    <w:pPr>
      <w:framePr w:hSpace="181" w:wrap="around" w:vAnchor="text" w:hAnchor="page" w:xAlign="center" w:y="-56"/>
      <w:tabs>
        <w:tab w:val="left" w:pos="5380"/>
      </w:tabs>
      <w:bidi w:val="0"/>
      <w:spacing w:before="0" w:beforeAutospacing="0" w:after="0" w:afterAutospacing="0" w:line="240" w:lineRule="auto"/>
      <w:ind w:left="0" w:right="0"/>
      <w:suppressOverlap/>
      <w:jc w:val="left"/>
    </w:pPr>
    <w:rPr>
      <w:rFonts w:ascii="Garamond" w:eastAsia="SimSun" w:hAnsi="Garamond" w:cs="Times New Roman"/>
      <w:sz w:val="20"/>
      <w:szCs w:val="22"/>
      <w:lang w:val="en-GB"/>
      <w14:textFill>
        <w14:solidFill>
          <w14:srgbClr w14:val="000000">
            <w14:lumMod w14:val="85000"/>
            <w14:lumOff w14:val="15000"/>
          </w14:srgbClr>
        </w14:solidFill>
      </w14:textFill>
    </w:rPr>
  </w:style>
  <w:style w:type="character" w:customStyle="1" w:styleId="HEADING2Char">
    <w:name w:val="HEADING2 Char"/>
    <w:basedOn w:val="Fuentedeprrafopredeter"/>
    <w:link w:val="HEADING2"/>
    <w:rsid w:val="00C17453"/>
    <w:rPr>
      <w:rFonts w:ascii="Garamond" w:eastAsia="Times New Roman" w:hAnsi="Garamond" w:cs="Times New Roman"/>
      <w:b/>
      <w:bCs/>
      <w:color w:val="auto"/>
      <w:sz w:val="28"/>
      <w:szCs w:val="28"/>
    </w:rPr>
  </w:style>
  <w:style w:type="paragraph" w:customStyle="1" w:styleId="HEADING3">
    <w:name w:val="HEADING3"/>
    <w:basedOn w:val="Ttulo3"/>
    <w:link w:val="HEADING3Char"/>
    <w:autoRedefine/>
    <w:qFormat/>
    <w:rsid w:val="00F10389"/>
    <w:pPr>
      <w:bidi w:val="0"/>
      <w:spacing w:before="120" w:beforeAutospacing="0" w:after="120" w:afterAutospacing="0"/>
      <w:ind w:firstLine="142"/>
    </w:pPr>
    <w:rPr>
      <w:rFonts w:ascii="Garamond" w:eastAsiaTheme="majorEastAsia" w:hAnsi="Garamond" w:cstheme="majorBidi"/>
      <w:b/>
      <w:bCs/>
      <w:color w:val="000000" w:themeColor="text1"/>
      <w:szCs w:val="24"/>
    </w:rPr>
  </w:style>
  <w:style w:type="character" w:customStyle="1" w:styleId="TABLECONTENTChar">
    <w:name w:val="TABLE CONTENT Char"/>
    <w:basedOn w:val="Fuentedeprrafopredeter"/>
    <w:link w:val="TABLECONTENT"/>
    <w:rsid w:val="00B97DEE"/>
    <w:rPr>
      <w:rFonts w:ascii="Garamond" w:eastAsia="SimSun" w:hAnsi="Garamond" w:cs="Times New Roman"/>
      <w:color w:val="000000"/>
      <w:sz w:val="20"/>
      <w:szCs w:val="22"/>
      <w:lang w:val="en-GB"/>
      <w14:textFill>
        <w14:solidFill>
          <w14:srgbClr w14:val="000000">
            <w14:lumMod w14:val="85000"/>
            <w14:lumOff w14:val="15000"/>
          </w14:srgbClr>
        </w14:solidFill>
      </w14:textFill>
    </w:rPr>
  </w:style>
  <w:style w:type="paragraph" w:customStyle="1" w:styleId="Title3">
    <w:name w:val="Title3"/>
    <w:basedOn w:val="a6"/>
    <w:link w:val="TITLEChar"/>
    <w:rsid w:val="00FE6446"/>
    <w:pPr>
      <w:framePr w:hSpace="187" w:wrap="around" w:vAnchor="page" w:hAnchor="margin" w:xAlign="center" w:y="877"/>
      <w:tabs>
        <w:tab w:val="right" w:pos="8397"/>
      </w:tabs>
      <w:bidi w:val="0"/>
      <w:spacing w:after="240"/>
      <w:ind w:left="743" w:right="0" w:firstLine="0"/>
      <w:suppressOverlap/>
      <w:jc w:val="left"/>
    </w:pPr>
    <w:rPr>
      <w:rFonts w:ascii="Palatino Linotype" w:hAnsi="Palatino Linotype"/>
      <w:noProof/>
      <w:sz w:val="30"/>
      <w:szCs w:val="30"/>
      <w:lang w:bidi="fa-IR"/>
    </w:rPr>
  </w:style>
  <w:style w:type="character" w:customStyle="1" w:styleId="HEADING3Char">
    <w:name w:val="HEADING3 Char"/>
    <w:basedOn w:val="Fuentedeprrafopredeter"/>
    <w:link w:val="HEADING3"/>
    <w:rsid w:val="00F10389"/>
    <w:rPr>
      <w:rFonts w:ascii="Garamond" w:eastAsiaTheme="majorEastAsia" w:hAnsi="Garamond" w:cstheme="majorBidi"/>
      <w:b/>
      <w:bCs/>
      <w:color w:val="000000" w:themeColor="text1"/>
      <w:sz w:val="24"/>
    </w:rPr>
  </w:style>
  <w:style w:type="paragraph" w:customStyle="1" w:styleId="ARTICLETITLE0">
    <w:name w:val="ARTICLE TITLE"/>
    <w:basedOn w:val="Articletitle"/>
    <w:link w:val="ARTICLETITLEChar0"/>
    <w:qFormat/>
    <w:rsid w:val="00EA13A0"/>
    <w:pPr>
      <w:framePr w:wrap="around" w:y="877"/>
      <w:spacing w:before="0" w:after="0" w:line="276" w:lineRule="auto"/>
      <w:ind w:left="318"/>
    </w:pPr>
    <w:rPr>
      <w:rFonts w:ascii="Book Antiqua" w:hAnsi="Book Antiqua"/>
      <w:color w:val="056376"/>
      <w:sz w:val="36"/>
      <w:szCs w:val="36"/>
    </w:rPr>
  </w:style>
  <w:style w:type="character" w:customStyle="1" w:styleId="TITLEChar">
    <w:name w:val="TITLE Char"/>
    <w:basedOn w:val="Char"/>
    <w:link w:val="Title3"/>
    <w:rsid w:val="00FE6446"/>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EA13A0"/>
    <w:rPr>
      <w:rFonts w:ascii="Book Antiqua" w:eastAsia="Calibri" w:hAnsi="Book Antiqua" w:cs="Adobe Devanagari"/>
      <w:b/>
      <w:bCs/>
      <w:color w:val="056376"/>
      <w:sz w:val="36"/>
      <w:szCs w:val="36"/>
      <w:lang w:bidi="fa-IR"/>
    </w:rPr>
  </w:style>
  <w:style w:type="paragraph" w:customStyle="1" w:styleId="introduction">
    <w:name w:val="introduction"/>
    <w:basedOn w:val="Ttulo4"/>
    <w:link w:val="introductionChar"/>
    <w:qFormat/>
    <w:rsid w:val="007434C5"/>
    <w:pPr>
      <w:bidi w:val="0"/>
      <w:spacing w:before="0" w:beforeAutospacing="0" w:line="360" w:lineRule="auto"/>
      <w:ind w:left="1560" w:hanging="284"/>
    </w:pPr>
    <w:rPr>
      <w:rFonts w:ascii="Garamond" w:hAnsi="Garamond"/>
      <w:b/>
      <w:bCs/>
      <w:i w:val="0"/>
      <w:iCs w:val="0"/>
      <w:noProof/>
      <w:color w:val="1F3864" w:themeColor="accent5" w:themeShade="80"/>
      <w:sz w:val="30"/>
      <w:szCs w:val="30"/>
      <w:lang w:bidi="fa-IR"/>
    </w:rPr>
  </w:style>
  <w:style w:type="character" w:customStyle="1" w:styleId="introductionChar">
    <w:name w:val="introduction Char"/>
    <w:basedOn w:val="HEADING1Char0"/>
    <w:link w:val="introduction"/>
    <w:rsid w:val="007434C5"/>
    <w:rPr>
      <w:rFonts w:ascii="Garamond" w:eastAsiaTheme="majorEastAsia" w:hAnsi="Garamond" w:cstheme="majorBidi"/>
      <w:b/>
      <w:bCs/>
      <w:noProof/>
      <w:color w:val="1F3864" w:themeColor="accent5" w:themeShade="80"/>
      <w:sz w:val="30"/>
      <w:szCs w:val="30"/>
      <w:lang w:bidi="fa-IR"/>
    </w:rPr>
  </w:style>
  <w:style w:type="paragraph" w:styleId="Revisin">
    <w:name w:val="Revision"/>
    <w:hidden/>
    <w:uiPriority w:val="99"/>
    <w:semiHidden/>
    <w:rsid w:val="00B97DEE"/>
    <w:pPr>
      <w:bidi w:val="0"/>
      <w:spacing w:before="0" w:after="0" w:afterAutospacing="0"/>
      <w:ind w:left="0" w:right="0" w:firstLine="0"/>
      <w:jc w:val="left"/>
    </w:pPr>
    <w:rPr>
      <w:rFonts w:ascii="Adobe Gurmukhi" w:hAnsi="Adobe Gurmukhi" w:cs="XB Kayhan"/>
      <w:szCs w:val="23"/>
    </w:rPr>
  </w:style>
  <w:style w:type="character" w:styleId="Mencinsinresolver">
    <w:name w:val="Unresolved Mention"/>
    <w:basedOn w:val="Fuentedeprrafopredeter"/>
    <w:uiPriority w:val="99"/>
    <w:semiHidden/>
    <w:unhideWhenUsed/>
    <w:rsid w:val="00645594"/>
    <w:rPr>
      <w:color w:val="605E5C"/>
      <w:shd w:val="clear" w:color="auto" w:fill="E1DFDD"/>
    </w:rPr>
  </w:style>
  <w:style w:type="table" w:styleId="Tablanormal4">
    <w:name w:val="Plain Table 4"/>
    <w:basedOn w:val="Tablanormal"/>
    <w:uiPriority w:val="44"/>
    <w:rsid w:val="00274E05"/>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ddress">
    <w:name w:val="address"/>
    <w:basedOn w:val="Normal"/>
    <w:rsid w:val="00BD053A"/>
    <w:pPr>
      <w:overflowPunct w:val="0"/>
      <w:autoSpaceDE w:val="0"/>
      <w:autoSpaceDN w:val="0"/>
      <w:bidi w:val="0"/>
      <w:adjustRightInd w:val="0"/>
      <w:spacing w:before="0" w:beforeAutospacing="0" w:after="200" w:afterAutospacing="0" w:line="220" w:lineRule="atLeast"/>
      <w:ind w:left="0" w:right="0"/>
      <w:contextualSpacing/>
      <w:jc w:val="center"/>
      <w:textAlignment w:val="baseline"/>
    </w:pPr>
    <w:rPr>
      <w:rFonts w:ascii="Times New Roman" w:eastAsia="Times New Roman" w:hAnsi="Times New Roman" w:cs="Times New Roman"/>
      <w:color w:val="auto"/>
      <w:sz w:val="18"/>
      <w:szCs w:val="20"/>
    </w:rPr>
  </w:style>
  <w:style w:type="paragraph" w:customStyle="1" w:styleId="papertitle">
    <w:name w:val="papertitle"/>
    <w:basedOn w:val="Normal"/>
    <w:next w:val="author0"/>
    <w:rsid w:val="00BD053A"/>
    <w:pPr>
      <w:keepNext/>
      <w:keepLines/>
      <w:suppressAutoHyphens/>
      <w:overflowPunct w:val="0"/>
      <w:autoSpaceDE w:val="0"/>
      <w:autoSpaceDN w:val="0"/>
      <w:bidi w:val="0"/>
      <w:adjustRightInd w:val="0"/>
      <w:spacing w:before="0" w:beforeAutospacing="0" w:after="480" w:afterAutospacing="0" w:line="360" w:lineRule="atLeast"/>
      <w:ind w:left="0" w:right="0"/>
      <w:jc w:val="center"/>
      <w:textAlignment w:val="baseline"/>
    </w:pPr>
    <w:rPr>
      <w:rFonts w:ascii="Times New Roman" w:eastAsia="Times New Roman" w:hAnsi="Times New Roman" w:cs="Times New Roman"/>
      <w:b/>
      <w:color w:val="auto"/>
      <w:sz w:val="28"/>
      <w:szCs w:val="20"/>
    </w:rPr>
  </w:style>
  <w:style w:type="paragraph" w:customStyle="1" w:styleId="LETRATABLA">
    <w:name w:val="LETRA_TABLA"/>
    <w:basedOn w:val="Normal"/>
    <w:next w:val="Normal"/>
    <w:link w:val="LETRATABLACar"/>
    <w:qFormat/>
    <w:rsid w:val="00E85490"/>
    <w:pPr>
      <w:bidi w:val="0"/>
      <w:spacing w:before="0" w:beforeAutospacing="0" w:after="0" w:afterAutospacing="0" w:line="312" w:lineRule="auto"/>
      <w:ind w:left="0" w:right="0"/>
      <w:jc w:val="left"/>
    </w:pPr>
    <w:rPr>
      <w:rFonts w:ascii="Times New Roman" w:eastAsia="Calibri" w:hAnsi="Times New Roman" w:cs="Times New Roman"/>
      <w:color w:val="auto"/>
      <w:sz w:val="24"/>
      <w:szCs w:val="22"/>
    </w:rPr>
  </w:style>
  <w:style w:type="character" w:customStyle="1" w:styleId="LETRATABLACar">
    <w:name w:val="LETRA_TABLA Car"/>
    <w:link w:val="LETRATABLA"/>
    <w:rsid w:val="00E85490"/>
    <w:rPr>
      <w:rFonts w:eastAsia="Calibri" w:cs="Times New Roman"/>
      <w:color w:val="auto"/>
      <w:sz w:val="24"/>
      <w:szCs w:val="2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20873493">
      <w:bodyDiv w:val="1"/>
      <w:marLeft w:val="0"/>
      <w:marRight w:val="0"/>
      <w:marTop w:val="0"/>
      <w:marBottom w:val="0"/>
      <w:divBdr>
        <w:top w:val="none" w:sz="0" w:space="0" w:color="auto"/>
        <w:left w:val="none" w:sz="0" w:space="0" w:color="auto"/>
        <w:bottom w:val="none" w:sz="0" w:space="0" w:color="auto"/>
        <w:right w:val="none" w:sz="0" w:space="0" w:color="auto"/>
      </w:divBdr>
      <w:divsChild>
        <w:div w:id="849366731">
          <w:marLeft w:val="0"/>
          <w:marRight w:val="0"/>
          <w:marTop w:val="0"/>
          <w:marBottom w:val="0"/>
          <w:divBdr>
            <w:top w:val="none" w:sz="0" w:space="0" w:color="auto"/>
            <w:left w:val="none" w:sz="0" w:space="0" w:color="auto"/>
            <w:bottom w:val="none" w:sz="0" w:space="0" w:color="auto"/>
            <w:right w:val="none" w:sz="0" w:space="0" w:color="auto"/>
          </w:divBdr>
        </w:div>
      </w:divsChild>
    </w:div>
    <w:div w:id="449665868">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743457529">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19422565">
      <w:bodyDiv w:val="1"/>
      <w:marLeft w:val="0"/>
      <w:marRight w:val="0"/>
      <w:marTop w:val="0"/>
      <w:marBottom w:val="0"/>
      <w:divBdr>
        <w:top w:val="none" w:sz="0" w:space="0" w:color="auto"/>
        <w:left w:val="none" w:sz="0" w:space="0" w:color="auto"/>
        <w:bottom w:val="none" w:sz="0" w:space="0" w:color="auto"/>
        <w:right w:val="none" w:sz="0" w:space="0" w:color="auto"/>
      </w:divBdr>
      <w:divsChild>
        <w:div w:id="601379870">
          <w:marLeft w:val="0"/>
          <w:marRight w:val="0"/>
          <w:marTop w:val="0"/>
          <w:marBottom w:val="0"/>
          <w:divBdr>
            <w:top w:val="none" w:sz="0" w:space="0" w:color="auto"/>
            <w:left w:val="none" w:sz="0" w:space="0" w:color="auto"/>
            <w:bottom w:val="none" w:sz="0" w:space="0" w:color="auto"/>
            <w:right w:val="none" w:sz="0" w:space="0" w:color="auto"/>
          </w:divBdr>
          <w:divsChild>
            <w:div w:id="1212957431">
              <w:marLeft w:val="0"/>
              <w:marRight w:val="0"/>
              <w:marTop w:val="0"/>
              <w:marBottom w:val="0"/>
              <w:divBdr>
                <w:top w:val="none" w:sz="0" w:space="0" w:color="auto"/>
                <w:left w:val="none" w:sz="0" w:space="0" w:color="auto"/>
                <w:bottom w:val="none" w:sz="0" w:space="0" w:color="auto"/>
                <w:right w:val="none" w:sz="0" w:space="0" w:color="auto"/>
              </w:divBdr>
              <w:divsChild>
                <w:div w:id="2086417287">
                  <w:marLeft w:val="0"/>
                  <w:marRight w:val="0"/>
                  <w:marTop w:val="0"/>
                  <w:marBottom w:val="0"/>
                  <w:divBdr>
                    <w:top w:val="none" w:sz="0" w:space="0" w:color="auto"/>
                    <w:left w:val="none" w:sz="0" w:space="0" w:color="auto"/>
                    <w:bottom w:val="none" w:sz="0" w:space="0" w:color="auto"/>
                    <w:right w:val="none" w:sz="0" w:space="0" w:color="auto"/>
                  </w:divBdr>
                  <w:divsChild>
                    <w:div w:id="189596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087196077">
      <w:bodyDiv w:val="1"/>
      <w:marLeft w:val="0"/>
      <w:marRight w:val="0"/>
      <w:marTop w:val="0"/>
      <w:marBottom w:val="0"/>
      <w:divBdr>
        <w:top w:val="none" w:sz="0" w:space="0" w:color="auto"/>
        <w:left w:val="none" w:sz="0" w:space="0" w:color="auto"/>
        <w:bottom w:val="none" w:sz="0" w:space="0" w:color="auto"/>
        <w:right w:val="none" w:sz="0" w:space="0" w:color="auto"/>
      </w:divBdr>
    </w:div>
    <w:div w:id="1118255159">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129662740">
      <w:bodyDiv w:val="1"/>
      <w:marLeft w:val="0"/>
      <w:marRight w:val="0"/>
      <w:marTop w:val="0"/>
      <w:marBottom w:val="0"/>
      <w:divBdr>
        <w:top w:val="none" w:sz="0" w:space="0" w:color="auto"/>
        <w:left w:val="none" w:sz="0" w:space="0" w:color="auto"/>
        <w:bottom w:val="none" w:sz="0" w:space="0" w:color="auto"/>
        <w:right w:val="none" w:sz="0" w:space="0" w:color="auto"/>
      </w:divBdr>
    </w:div>
    <w:div w:id="1183520760">
      <w:bodyDiv w:val="1"/>
      <w:marLeft w:val="0"/>
      <w:marRight w:val="0"/>
      <w:marTop w:val="0"/>
      <w:marBottom w:val="0"/>
      <w:divBdr>
        <w:top w:val="none" w:sz="0" w:space="0" w:color="auto"/>
        <w:left w:val="none" w:sz="0" w:space="0" w:color="auto"/>
        <w:bottom w:val="none" w:sz="0" w:space="0" w:color="auto"/>
        <w:right w:val="none" w:sz="0" w:space="0" w:color="auto"/>
      </w:divBdr>
      <w:divsChild>
        <w:div w:id="1740593197">
          <w:marLeft w:val="0"/>
          <w:marRight w:val="0"/>
          <w:marTop w:val="0"/>
          <w:marBottom w:val="0"/>
          <w:divBdr>
            <w:top w:val="none" w:sz="0" w:space="0" w:color="auto"/>
            <w:left w:val="none" w:sz="0" w:space="0" w:color="auto"/>
            <w:bottom w:val="none" w:sz="0" w:space="0" w:color="auto"/>
            <w:right w:val="none" w:sz="0" w:space="0" w:color="auto"/>
          </w:divBdr>
        </w:div>
      </w:divsChild>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452894809">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657345719">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746026968">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2210286@correo.uis.edu.co" TargetMode="External"/><Relationship Id="rId13" Type="http://schemas.openxmlformats.org/officeDocument/2006/relationships/image" Target="media/image5.pn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3B092066-F040-416E-BD8C-1BA31D28B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505</TotalTime>
  <Pages>12</Pages>
  <Words>5550</Words>
  <Characters>30525</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JUAN AYALA</cp:lastModifiedBy>
  <cp:revision>230</cp:revision>
  <cp:lastPrinted>2024-04-24T06:47:00Z</cp:lastPrinted>
  <dcterms:created xsi:type="dcterms:W3CDTF">2026-01-14T02:11:00Z</dcterms:created>
  <dcterms:modified xsi:type="dcterms:W3CDTF">2026-02-12T20:56:00Z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7e71c5619c3c4600e8e31e7c348f8bb87d5a828ad041c5bd0c961c94f7cebee1</vt:lpwstr>
  </property>
  <property fmtid="{D5CDD505-2E9C-101B-9397-08002B2CF9AE}" pid="3" name="Mendeley Document_1">
    <vt:lpwstr>True</vt:lpwstr>
  </property>
  <property fmtid="{D5CDD505-2E9C-101B-9397-08002B2CF9AE}" pid="4" name="Mendeley Citation Style_1">
    <vt:lpwstr>https://csl.mendeley.com/styles/699351941/springer-socpsych-brackets-REA</vt:lpwstr>
  </property>
  <property fmtid="{D5CDD505-2E9C-101B-9397-08002B2CF9AE}" pid="5" name="Mendeley Unique User Id_1">
    <vt:lpwstr>31a13058-a3a0-3f13-8b76-6581fc1569a6</vt:lpwstr>
  </property>
</Properties>
</file>